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w:t>
            </w:r>
            <w:r>
              <w:rPr>
                <w:rFonts w:hint="eastAsia" w:ascii="宋体" w:hAnsi="宋体"/>
                <w:szCs w:val="28"/>
              </w:rPr>
              <w:t>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生产年度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2022年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left="0" w:leftChars="0" w:firstLine="0" w:firstLineChars="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围包散储</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80" w:firstLineChars="100"/>
              <w:jc w:val="both"/>
              <w:rPr>
                <w:rFonts w:hint="eastAsia" w:ascii="宋体" w:hAnsi="宋体" w:eastAsia="宋体"/>
                <w:sz w:val="24"/>
              </w:rPr>
            </w:pPr>
            <w:r>
              <w:rPr>
                <w:rFonts w:hint="eastAsia" w:ascii="宋体" w:hAnsi="宋体"/>
                <w:szCs w:val="28"/>
              </w:rPr>
              <w:t>XXX</w:t>
            </w:r>
            <w:r>
              <w:rPr>
                <w:rFonts w:hint="eastAsia" w:ascii="宋体" w:hAnsi="宋体" w:eastAsia="宋体"/>
                <w:sz w:val="24"/>
              </w:rPr>
              <w:t>元</w:t>
            </w:r>
            <w:bookmarkStart w:id="0" w:name="_GoBack"/>
            <w:bookmarkEnd w:id="0"/>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7333D2B1">
            <w:pPr>
              <w:widowControl/>
              <w:shd w:val="clear" w:color="auto" w:fill="FFFFFF"/>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2025年XX月XX日-2025年XX月XX日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四、结算凭证：卖方提供本单位开出的增值税专用发票。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37744D7C">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0542340">
      <w:pPr>
        <w:autoSpaceDE w:val="0"/>
        <w:autoSpaceDN w:val="0"/>
        <w:adjustRightInd w:val="0"/>
        <w:spacing w:line="400" w:lineRule="exact"/>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2D168F5B">
      <w:pPr>
        <w:autoSpaceDE w:val="0"/>
        <w:autoSpaceDN w:val="0"/>
        <w:adjustRightInd w:val="0"/>
        <w:spacing w:line="400" w:lineRule="exact"/>
        <w:rPr>
          <w:rFonts w:hint="eastAsia" w:ascii="宋体" w:hAnsi="宋体"/>
          <w:kern w:val="0"/>
          <w:sz w:val="24"/>
        </w:rPr>
      </w:pPr>
      <w:r>
        <w:rPr>
          <w:rFonts w:hint="eastAsia" w:ascii="宋体" w:hAnsi="宋体"/>
          <w:kern w:val="0"/>
          <w:sz w:val="24"/>
        </w:rPr>
        <w:t>电话：0753-2128293    2128286</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传真：0753-2128286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748E3F29">
      <w:pPr>
        <w:tabs>
          <w:tab w:val="left" w:pos="3336"/>
        </w:tabs>
        <w:spacing w:line="560" w:lineRule="exact"/>
        <w:ind w:firstLine="560" w:firstLineChars="200"/>
        <w:rPr>
          <w:sz w:val="28"/>
          <w:szCs w:val="28"/>
          <w:highlight w:val="none"/>
        </w:rPr>
      </w:pPr>
      <w:r>
        <w:rPr>
          <w:rFonts w:hint="eastAsia"/>
          <w:sz w:val="28"/>
          <w:szCs w:val="28"/>
          <w:highlight w:val="none"/>
        </w:rPr>
        <w:t>根据广东省粮食和物资储备局《关于进一步加强</w:t>
      </w:r>
      <w:r>
        <w:rPr>
          <w:rFonts w:hint="eastAsia"/>
          <w:sz w:val="28"/>
          <w:szCs w:val="28"/>
          <w:highlight w:val="none"/>
          <w:lang w:val="en-US" w:eastAsia="zh-CN"/>
        </w:rPr>
        <w:t>政府</w:t>
      </w:r>
      <w:r>
        <w:rPr>
          <w:rFonts w:hint="eastAsia"/>
          <w:sz w:val="28"/>
          <w:szCs w:val="28"/>
          <w:highlight w:val="none"/>
        </w:rPr>
        <w:t>储备粮</w:t>
      </w:r>
      <w:r>
        <w:rPr>
          <w:rFonts w:hint="eastAsia"/>
          <w:sz w:val="28"/>
          <w:szCs w:val="28"/>
          <w:highlight w:val="none"/>
          <w:lang w:val="en-US" w:eastAsia="zh-CN"/>
        </w:rPr>
        <w:t>食</w:t>
      </w:r>
      <w:r>
        <w:rPr>
          <w:rFonts w:hint="eastAsia"/>
          <w:sz w:val="28"/>
          <w:szCs w:val="28"/>
          <w:highlight w:val="none"/>
        </w:rPr>
        <w:t>质量安全</w:t>
      </w:r>
      <w:r>
        <w:rPr>
          <w:rFonts w:hint="eastAsia"/>
          <w:sz w:val="28"/>
          <w:szCs w:val="28"/>
          <w:highlight w:val="none"/>
          <w:lang w:val="en-US" w:eastAsia="zh-CN"/>
        </w:rPr>
        <w:t>管理</w:t>
      </w:r>
      <w:r>
        <w:rPr>
          <w:rFonts w:hint="eastAsia"/>
          <w:sz w:val="28"/>
          <w:szCs w:val="28"/>
          <w:highlight w:val="none"/>
        </w:rPr>
        <w:t>的通知》（粤粮监</w:t>
      </w:r>
      <w:r>
        <w:rPr>
          <w:rFonts w:hint="eastAsia" w:ascii="宋体" w:hAnsi="宋体" w:eastAsia="宋体"/>
          <w:sz w:val="28"/>
          <w:szCs w:val="28"/>
          <w:highlight w:val="none"/>
        </w:rPr>
        <w:t>〔</w:t>
      </w:r>
      <w:r>
        <w:rPr>
          <w:rFonts w:hint="eastAsia"/>
          <w:sz w:val="28"/>
          <w:szCs w:val="28"/>
          <w:highlight w:val="none"/>
        </w:rPr>
        <w:t>20</w:t>
      </w:r>
      <w:r>
        <w:rPr>
          <w:rFonts w:hint="eastAsia"/>
          <w:sz w:val="28"/>
          <w:szCs w:val="28"/>
          <w:highlight w:val="none"/>
          <w:lang w:val="en-US" w:eastAsia="zh-CN"/>
        </w:rPr>
        <w:t>22</w:t>
      </w:r>
      <w:r>
        <w:rPr>
          <w:rFonts w:hint="eastAsia" w:ascii="宋体" w:hAnsi="宋体" w:eastAsia="宋体"/>
          <w:sz w:val="28"/>
          <w:szCs w:val="28"/>
          <w:highlight w:val="none"/>
        </w:rPr>
        <w:t>〕</w:t>
      </w:r>
      <w:r>
        <w:rPr>
          <w:rFonts w:hint="eastAsia" w:eastAsia="宋体"/>
          <w:sz w:val="28"/>
          <w:szCs w:val="28"/>
          <w:highlight w:val="none"/>
          <w:lang w:val="en-US" w:eastAsia="zh-CN"/>
        </w:rPr>
        <w:t>46</w:t>
      </w:r>
      <w:r>
        <w:rPr>
          <w:rFonts w:hint="eastAsia"/>
          <w:sz w:val="28"/>
          <w:szCs w:val="28"/>
          <w:highlight w:val="none"/>
        </w:rPr>
        <w:t>号）要求，与购买企业约定食品安全责任，避免食品安全风险。为严格落实粮食质量安全主体责任，严格执行国家粮食质量安全管理规定，切实保障全市地方储备粮质量安全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5</w:t>
      </w:r>
      <w:r>
        <w:rPr>
          <w:rFonts w:hint="eastAsia"/>
          <w:sz w:val="28"/>
          <w:szCs w:val="28"/>
          <w:highlight w:val="none"/>
        </w:rPr>
        <w:t>年</w:t>
      </w:r>
      <w:r>
        <w:rPr>
          <w:rFonts w:hint="eastAsia" w:asciiTheme="majorEastAsia" w:hAnsiTheme="majorEastAsia" w:eastAsiaTheme="majorEastAsia" w:cstheme="majorEastAsia"/>
          <w:sz w:val="28"/>
          <w:szCs w:val="28"/>
          <w:highlight w:val="none"/>
          <w:lang w:val="en-US" w:eastAsia="zh-CN"/>
        </w:rPr>
        <w:t>XX</w:t>
      </w:r>
      <w:r>
        <w:rPr>
          <w:rFonts w:hint="eastAsia"/>
          <w:sz w:val="28"/>
          <w:szCs w:val="28"/>
          <w:highlight w:val="none"/>
        </w:rPr>
        <w:t>月</w:t>
      </w:r>
      <w:r>
        <w:rPr>
          <w:rFonts w:hint="eastAsia" w:asciiTheme="majorEastAsia" w:hAnsiTheme="majorEastAsia" w:eastAsiaTheme="majorEastAsia" w:cstheme="majorEastAsia"/>
          <w:sz w:val="28"/>
          <w:szCs w:val="28"/>
          <w:highlight w:val="none"/>
          <w:lang w:val="en-US" w:eastAsia="zh-CN"/>
        </w:rPr>
        <w:t>XX</w:t>
      </w:r>
      <w:r>
        <w:rPr>
          <w:rFonts w:hint="eastAsia"/>
          <w:sz w:val="28"/>
          <w:szCs w:val="28"/>
          <w:highlight w:val="none"/>
        </w:rPr>
        <w:t>日在梅州市嘉应粮食交易中心有限公司竞价中标稻谷</w:t>
      </w:r>
      <w:r>
        <w:rPr>
          <w:rFonts w:hint="eastAsia" w:asciiTheme="majorEastAsia" w:hAnsiTheme="majorEastAsia" w:eastAsiaTheme="majorEastAsia" w:cstheme="majorEastAsia"/>
          <w:sz w:val="28"/>
          <w:szCs w:val="28"/>
          <w:highlight w:val="none"/>
          <w:lang w:val="en-US" w:eastAsia="zh-CN"/>
        </w:rPr>
        <w:t>XXXX</w:t>
      </w:r>
      <w:r>
        <w:rPr>
          <w:rFonts w:hint="eastAsia"/>
          <w:sz w:val="28"/>
          <w:szCs w:val="28"/>
          <w:highlight w:val="none"/>
        </w:rPr>
        <w:t>吨，合同编号：</w:t>
      </w:r>
      <w:r>
        <w:rPr>
          <w:rFonts w:hint="eastAsia"/>
          <w:sz w:val="28"/>
          <w:szCs w:val="28"/>
          <w:highlight w:val="none"/>
          <w:lang w:val="en-US" w:eastAsia="zh-CN"/>
        </w:rPr>
        <w:t>2025</w:t>
      </w:r>
      <w:r>
        <w:rPr>
          <w:rFonts w:hint="eastAsia" w:asciiTheme="majorEastAsia" w:hAnsiTheme="majorEastAsia" w:eastAsiaTheme="majorEastAsia" w:cstheme="majorEastAsia"/>
          <w:sz w:val="28"/>
          <w:szCs w:val="28"/>
          <w:highlight w:val="none"/>
          <w:lang w:val="en-US" w:eastAsia="zh-CN"/>
        </w:rPr>
        <w:t>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 xml:space="preserve">（签字）：    </w:t>
      </w:r>
      <w:r>
        <w:rPr>
          <w:rFonts w:hint="eastAsia"/>
          <w:sz w:val="28"/>
          <w:szCs w:val="28"/>
          <w:highlight w:val="none"/>
          <w:lang w:val="en-US" w:eastAsia="zh-CN"/>
        </w:rPr>
        <w:t xml:space="preserve">           法定代表人</w:t>
      </w:r>
      <w:r>
        <w:rPr>
          <w:rFonts w:hint="eastAsia"/>
          <w:sz w:val="28"/>
          <w:szCs w:val="28"/>
          <w:highlight w:val="none"/>
        </w:rPr>
        <w:t>（签字）：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53A8A95C">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2025</w:t>
      </w:r>
      <w:r>
        <w:rPr>
          <w:rFonts w:hint="eastAsia"/>
          <w:sz w:val="28"/>
          <w:szCs w:val="28"/>
          <w:highlight w:val="none"/>
        </w:rPr>
        <w:t>年</w:t>
      </w:r>
      <w:r>
        <w:rPr>
          <w:rFonts w:hint="eastAsia" w:asciiTheme="majorEastAsia" w:hAnsiTheme="majorEastAsia" w:eastAsiaTheme="majorEastAsia" w:cstheme="majorEastAsia"/>
          <w:sz w:val="28"/>
          <w:szCs w:val="28"/>
          <w:highlight w:val="none"/>
          <w:lang w:val="en-US" w:eastAsia="zh-CN"/>
        </w:rPr>
        <w:t>XX</w:t>
      </w:r>
      <w:r>
        <w:rPr>
          <w:rFonts w:hint="eastAsia"/>
          <w:sz w:val="28"/>
          <w:szCs w:val="28"/>
          <w:highlight w:val="none"/>
        </w:rPr>
        <w:t>月</w:t>
      </w:r>
      <w:r>
        <w:rPr>
          <w:rFonts w:hint="eastAsia" w:asciiTheme="majorEastAsia" w:hAnsiTheme="majorEastAsia" w:eastAsiaTheme="majorEastAsia" w:cstheme="majorEastAsia"/>
          <w:sz w:val="28"/>
          <w:szCs w:val="28"/>
          <w:highlight w:val="none"/>
          <w:lang w:val="en-US" w:eastAsia="zh-CN"/>
        </w:rPr>
        <w:t>XX</w:t>
      </w:r>
      <w:r>
        <w:rPr>
          <w:rFonts w:hint="eastAsia"/>
          <w:sz w:val="28"/>
          <w:szCs w:val="28"/>
          <w:highlight w:val="none"/>
        </w:rPr>
        <w:t>日</w:t>
      </w: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438F1"/>
    <w:rsid w:val="000555A5"/>
    <w:rsid w:val="00066CA0"/>
    <w:rsid w:val="00073830"/>
    <w:rsid w:val="000809AB"/>
    <w:rsid w:val="000809C3"/>
    <w:rsid w:val="00085FF8"/>
    <w:rsid w:val="000A0A6C"/>
    <w:rsid w:val="000A128F"/>
    <w:rsid w:val="000A3C43"/>
    <w:rsid w:val="000A7D08"/>
    <w:rsid w:val="000D1210"/>
    <w:rsid w:val="000D540A"/>
    <w:rsid w:val="000E153C"/>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E714D"/>
    <w:rsid w:val="002F1E71"/>
    <w:rsid w:val="002F3DB0"/>
    <w:rsid w:val="0030521F"/>
    <w:rsid w:val="00332E35"/>
    <w:rsid w:val="0034606B"/>
    <w:rsid w:val="003552A5"/>
    <w:rsid w:val="00376E7B"/>
    <w:rsid w:val="00384C74"/>
    <w:rsid w:val="00385DE9"/>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3009F"/>
    <w:rsid w:val="00432E9B"/>
    <w:rsid w:val="00440507"/>
    <w:rsid w:val="00441539"/>
    <w:rsid w:val="00445652"/>
    <w:rsid w:val="00446417"/>
    <w:rsid w:val="004547EC"/>
    <w:rsid w:val="00456509"/>
    <w:rsid w:val="00462362"/>
    <w:rsid w:val="00464064"/>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97C0B"/>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3714D"/>
    <w:rsid w:val="009548DB"/>
    <w:rsid w:val="00955D73"/>
    <w:rsid w:val="009571A6"/>
    <w:rsid w:val="00965913"/>
    <w:rsid w:val="00981253"/>
    <w:rsid w:val="00997D54"/>
    <w:rsid w:val="009A1577"/>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8115A"/>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1B45"/>
    <w:rsid w:val="00B33669"/>
    <w:rsid w:val="00B36BA5"/>
    <w:rsid w:val="00B46B34"/>
    <w:rsid w:val="00B532A8"/>
    <w:rsid w:val="00B61B90"/>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D0BE5"/>
    <w:rsid w:val="00CD33E5"/>
    <w:rsid w:val="00CE34C5"/>
    <w:rsid w:val="00CE5793"/>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3F4F"/>
    <w:rsid w:val="00DA6C2F"/>
    <w:rsid w:val="00DD2040"/>
    <w:rsid w:val="00DD62F3"/>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1DA6"/>
    <w:rsid w:val="00FF76FB"/>
    <w:rsid w:val="01235E12"/>
    <w:rsid w:val="01C70D72"/>
    <w:rsid w:val="08F16230"/>
    <w:rsid w:val="0ABB6AF5"/>
    <w:rsid w:val="0ED542E3"/>
    <w:rsid w:val="0FF04DAF"/>
    <w:rsid w:val="10600B4C"/>
    <w:rsid w:val="134B44A5"/>
    <w:rsid w:val="14EE14FB"/>
    <w:rsid w:val="1B8145E4"/>
    <w:rsid w:val="1DFE5E90"/>
    <w:rsid w:val="20E454D6"/>
    <w:rsid w:val="217613BF"/>
    <w:rsid w:val="22CF718A"/>
    <w:rsid w:val="233932BA"/>
    <w:rsid w:val="2A072E64"/>
    <w:rsid w:val="2B560404"/>
    <w:rsid w:val="2BE70D21"/>
    <w:rsid w:val="2C333AD5"/>
    <w:rsid w:val="2C840DC9"/>
    <w:rsid w:val="2D0E623A"/>
    <w:rsid w:val="32426E05"/>
    <w:rsid w:val="33201CD7"/>
    <w:rsid w:val="33457AFA"/>
    <w:rsid w:val="363D3C7C"/>
    <w:rsid w:val="3BBA2F5D"/>
    <w:rsid w:val="3F8F7A8D"/>
    <w:rsid w:val="43CC0E50"/>
    <w:rsid w:val="46B96415"/>
    <w:rsid w:val="4B30525C"/>
    <w:rsid w:val="53877A85"/>
    <w:rsid w:val="591470C9"/>
    <w:rsid w:val="5A8F30C0"/>
    <w:rsid w:val="62360C93"/>
    <w:rsid w:val="62D84861"/>
    <w:rsid w:val="661D2E56"/>
    <w:rsid w:val="71A6714E"/>
    <w:rsid w:val="726546B7"/>
    <w:rsid w:val="75F864F2"/>
    <w:rsid w:val="76EC1DC1"/>
    <w:rsid w:val="78625326"/>
    <w:rsid w:val="7A703F9C"/>
    <w:rsid w:val="7C716941"/>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1409</Words>
  <Characters>1513</Characters>
  <Lines>11</Lines>
  <Paragraphs>3</Paragraphs>
  <TotalTime>0</TotalTime>
  <ScaleCrop>false</ScaleCrop>
  <LinksUpToDate>false</LinksUpToDate>
  <CharactersWithSpaces>1597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2025-03-24T02:42:00Z</cp:lastPrinted>
  <dcterms:modified xsi:type="dcterms:W3CDTF">2025-10-23T07:52:06Z</dcterms:modified>
  <dc:title>广州市粮食竞价交易合同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