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C6371F">
      <w:pPr>
        <w:keepNext w:val="0"/>
        <w:keepLines w:val="0"/>
        <w:pageBreakBefore w:val="0"/>
        <w:widowControl w:val="0"/>
        <w:kinsoku/>
        <w:wordWrap/>
        <w:overflowPunct/>
        <w:topLinePunct w:val="0"/>
        <w:autoSpaceDE w:val="0"/>
        <w:autoSpaceDN w:val="0"/>
        <w:bidi w:val="0"/>
        <w:adjustRightInd w:val="0"/>
        <w:snapToGrid/>
        <w:spacing w:line="520" w:lineRule="exact"/>
        <w:jc w:val="center"/>
        <w:textAlignment w:val="auto"/>
        <w:rPr>
          <w:rFonts w:hint="default" w:ascii="Times New Roman" w:hAnsi="Times New Roman" w:cs="Times New Roman"/>
          <w:b/>
          <w:kern w:val="0"/>
          <w:sz w:val="48"/>
          <w:szCs w:val="48"/>
        </w:rPr>
      </w:pPr>
      <w:r>
        <w:rPr>
          <w:rFonts w:hint="default" w:ascii="Times New Roman" w:hAnsi="Times New Roman" w:cs="Times New Roman"/>
          <w:b/>
          <w:kern w:val="0"/>
          <w:sz w:val="48"/>
          <w:szCs w:val="48"/>
        </w:rPr>
        <w:t>梅州市嘉应粮食交易中心</w:t>
      </w:r>
    </w:p>
    <w:p w14:paraId="59DB63FC">
      <w:pPr>
        <w:keepNext w:val="0"/>
        <w:keepLines w:val="0"/>
        <w:pageBreakBefore w:val="0"/>
        <w:widowControl w:val="0"/>
        <w:kinsoku/>
        <w:wordWrap/>
        <w:overflowPunct/>
        <w:topLinePunct w:val="0"/>
        <w:autoSpaceDE w:val="0"/>
        <w:autoSpaceDN w:val="0"/>
        <w:bidi w:val="0"/>
        <w:adjustRightInd w:val="0"/>
        <w:snapToGrid/>
        <w:spacing w:line="520" w:lineRule="exact"/>
        <w:jc w:val="center"/>
        <w:textAlignment w:val="auto"/>
        <w:rPr>
          <w:rFonts w:hint="default" w:ascii="Times New Roman" w:hAnsi="Times New Roman" w:cs="Times New Roman"/>
          <w:b/>
          <w:kern w:val="0"/>
          <w:sz w:val="48"/>
          <w:szCs w:val="48"/>
        </w:rPr>
      </w:pPr>
      <w:r>
        <w:rPr>
          <w:rFonts w:hint="default" w:ascii="Times New Roman" w:hAnsi="Times New Roman" w:cs="Times New Roman"/>
          <w:b/>
          <w:kern w:val="0"/>
          <w:sz w:val="48"/>
          <w:szCs w:val="48"/>
        </w:rPr>
        <w:t xml:space="preserve"> 粮食竞价采购交易合同</w:t>
      </w:r>
    </w:p>
    <w:p w14:paraId="35FE9D2B">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Times New Roman" w:hAnsi="Times New Roman" w:cs="Times New Roman"/>
          <w:kern w:val="0"/>
          <w:sz w:val="28"/>
        </w:rPr>
      </w:pPr>
    </w:p>
    <w:p w14:paraId="41CC0BC6">
      <w:pPr>
        <w:keepNext w:val="0"/>
        <w:keepLines w:val="0"/>
        <w:pageBreakBefore w:val="0"/>
        <w:widowControl w:val="0"/>
        <w:kinsoku/>
        <w:wordWrap/>
        <w:overflowPunct/>
        <w:topLinePunct w:val="0"/>
        <w:autoSpaceDE w:val="0"/>
        <w:autoSpaceDN w:val="0"/>
        <w:bidi w:val="0"/>
        <w:adjustRightInd w:val="0"/>
        <w:snapToGrid/>
        <w:spacing w:line="360" w:lineRule="exact"/>
        <w:textAlignment w:val="auto"/>
        <w:rPr>
          <w:rFonts w:hint="default" w:ascii="Times New Roman" w:hAnsi="Times New Roman" w:cs="Times New Roman"/>
          <w:kern w:val="0"/>
          <w:sz w:val="28"/>
        </w:rPr>
      </w:pPr>
      <w:r>
        <w:rPr>
          <w:rFonts w:hint="default" w:ascii="Times New Roman" w:hAnsi="Times New Roman" w:cs="Times New Roman"/>
          <w:kern w:val="0"/>
          <w:sz w:val="28"/>
        </w:rPr>
        <w:t>合同编号：</w:t>
      </w:r>
    </w:p>
    <w:p w14:paraId="6D16D1FD">
      <w:pPr>
        <w:keepNext w:val="0"/>
        <w:keepLines w:val="0"/>
        <w:pageBreakBefore w:val="0"/>
        <w:widowControl w:val="0"/>
        <w:kinsoku/>
        <w:wordWrap/>
        <w:overflowPunct/>
        <w:topLinePunct w:val="0"/>
        <w:autoSpaceDE w:val="0"/>
        <w:autoSpaceDN w:val="0"/>
        <w:bidi w:val="0"/>
        <w:adjustRightInd w:val="0"/>
        <w:snapToGrid/>
        <w:spacing w:line="360" w:lineRule="exact"/>
        <w:textAlignment w:val="auto"/>
        <w:rPr>
          <w:rFonts w:hint="default" w:ascii="Times New Roman" w:hAnsi="Times New Roman" w:cs="Times New Roman"/>
          <w:kern w:val="0"/>
          <w:sz w:val="28"/>
        </w:rPr>
      </w:pPr>
      <w:r>
        <w:rPr>
          <w:rFonts w:hint="default" w:ascii="Times New Roman" w:hAnsi="Times New Roman" w:cs="Times New Roman"/>
          <w:kern w:val="0"/>
          <w:sz w:val="28"/>
        </w:rPr>
        <w:t>买方全称：</w:t>
      </w:r>
      <w:r>
        <w:rPr>
          <w:rFonts w:hint="eastAsia" w:cs="Times New Roman"/>
          <w:kern w:val="0"/>
          <w:sz w:val="28"/>
          <w:lang w:val="en-US" w:eastAsia="zh-CN"/>
        </w:rPr>
        <w:t>丰顺县粮食</w:t>
      </w:r>
      <w:r>
        <w:rPr>
          <w:rFonts w:hint="default" w:ascii="Times New Roman" w:hAnsi="Times New Roman" w:cs="Times New Roman"/>
          <w:kern w:val="0"/>
          <w:sz w:val="28"/>
        </w:rPr>
        <w:t>收储</w:t>
      </w:r>
      <w:r>
        <w:rPr>
          <w:rFonts w:hint="default" w:ascii="Times New Roman" w:hAnsi="Times New Roman" w:cs="Times New Roman"/>
          <w:sz w:val="28"/>
          <w:szCs w:val="28"/>
        </w:rPr>
        <w:t>有限公司</w:t>
      </w:r>
    </w:p>
    <w:p w14:paraId="3CEB549D">
      <w:pPr>
        <w:keepNext w:val="0"/>
        <w:keepLines w:val="0"/>
        <w:pageBreakBefore w:val="0"/>
        <w:widowControl w:val="0"/>
        <w:kinsoku/>
        <w:wordWrap/>
        <w:overflowPunct/>
        <w:topLinePunct w:val="0"/>
        <w:bidi w:val="0"/>
        <w:snapToGrid/>
        <w:spacing w:line="360" w:lineRule="exact"/>
        <w:textAlignment w:val="auto"/>
        <w:rPr>
          <w:rFonts w:hint="default" w:ascii="Times New Roman" w:hAnsi="Times New Roman" w:cs="Times New Roman"/>
          <w:sz w:val="28"/>
          <w:szCs w:val="28"/>
        </w:rPr>
      </w:pPr>
      <w:r>
        <w:rPr>
          <w:rFonts w:hint="default" w:ascii="Times New Roman" w:hAnsi="Times New Roman" w:cs="Times New Roman"/>
          <w:kern w:val="0"/>
          <w:sz w:val="28"/>
        </w:rPr>
        <w:t>卖方全称：</w:t>
      </w:r>
    </w:p>
    <w:p w14:paraId="55D10F89">
      <w:pPr>
        <w:keepNext w:val="0"/>
        <w:keepLines w:val="0"/>
        <w:pageBreakBefore w:val="0"/>
        <w:widowControl w:val="0"/>
        <w:kinsoku/>
        <w:wordWrap/>
        <w:overflowPunct/>
        <w:topLinePunct w:val="0"/>
        <w:autoSpaceDE w:val="0"/>
        <w:autoSpaceDN w:val="0"/>
        <w:bidi w:val="0"/>
        <w:adjustRightInd w:val="0"/>
        <w:snapToGrid/>
        <w:spacing w:line="360" w:lineRule="exact"/>
        <w:ind w:firstLine="482" w:firstLineChars="200"/>
        <w:textAlignment w:val="auto"/>
        <w:rPr>
          <w:rFonts w:hint="default" w:ascii="Times New Roman" w:hAnsi="Times New Roman" w:cs="Times New Roman"/>
          <w:kern w:val="0"/>
          <w:sz w:val="24"/>
        </w:rPr>
      </w:pPr>
      <w:r>
        <w:rPr>
          <w:rFonts w:hint="default" w:ascii="Times New Roman" w:hAnsi="Times New Roman" w:cs="Times New Roman"/>
          <w:b/>
          <w:bCs/>
          <w:kern w:val="0"/>
          <w:sz w:val="24"/>
        </w:rPr>
        <w:t>一、</w:t>
      </w:r>
      <w:r>
        <w:rPr>
          <w:rFonts w:hint="eastAsia" w:cs="Times New Roman"/>
          <w:b/>
          <w:bCs/>
          <w:kern w:val="0"/>
          <w:sz w:val="24"/>
          <w:lang w:val="en-US" w:eastAsia="zh-CN"/>
        </w:rPr>
        <w:t>采购</w:t>
      </w:r>
      <w:r>
        <w:rPr>
          <w:rFonts w:hint="default" w:ascii="Times New Roman" w:hAnsi="Times New Roman" w:cs="Times New Roman"/>
          <w:b/>
          <w:bCs/>
          <w:kern w:val="0"/>
          <w:sz w:val="24"/>
        </w:rPr>
        <w:t>标的</w:t>
      </w:r>
      <w:r>
        <w:rPr>
          <w:rFonts w:hint="default" w:ascii="Times New Roman" w:hAnsi="Times New Roman" w:cs="Times New Roman"/>
          <w:kern w:val="0"/>
          <w:sz w:val="24"/>
        </w:rPr>
        <w:t xml:space="preserve">（见下表）                                </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8"/>
        <w:gridCol w:w="1877"/>
        <w:gridCol w:w="1522"/>
        <w:gridCol w:w="3819"/>
      </w:tblGrid>
      <w:tr w14:paraId="02A6E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448" w:type="dxa"/>
            <w:vAlign w:val="center"/>
          </w:tcPr>
          <w:p w14:paraId="343E6D65">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b/>
                <w:bCs/>
                <w:sz w:val="24"/>
              </w:rPr>
            </w:pPr>
            <w:r>
              <w:rPr>
                <w:rFonts w:hint="default" w:ascii="Times New Roman" w:hAnsi="Times New Roman" w:eastAsia="宋体" w:cs="Times New Roman"/>
                <w:b/>
                <w:bCs/>
                <w:sz w:val="24"/>
              </w:rPr>
              <w:t>标的号</w:t>
            </w:r>
          </w:p>
        </w:tc>
        <w:tc>
          <w:tcPr>
            <w:tcW w:w="1877" w:type="dxa"/>
            <w:vAlign w:val="center"/>
          </w:tcPr>
          <w:p w14:paraId="0DEE17C8">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01</w:t>
            </w:r>
          </w:p>
        </w:tc>
        <w:tc>
          <w:tcPr>
            <w:tcW w:w="1522" w:type="dxa"/>
            <w:vAlign w:val="center"/>
          </w:tcPr>
          <w:p w14:paraId="6FAE8F95">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b/>
                <w:bCs/>
                <w:sz w:val="24"/>
              </w:rPr>
            </w:pPr>
            <w:r>
              <w:rPr>
                <w:rFonts w:hint="default" w:ascii="Times New Roman" w:hAnsi="Times New Roman" w:eastAsia="宋体" w:cs="Times New Roman"/>
                <w:b/>
                <w:bCs/>
                <w:sz w:val="24"/>
              </w:rPr>
              <w:t>生产年度</w:t>
            </w:r>
          </w:p>
        </w:tc>
        <w:tc>
          <w:tcPr>
            <w:tcW w:w="3819" w:type="dxa"/>
            <w:vAlign w:val="center"/>
          </w:tcPr>
          <w:p w14:paraId="1C5C3D4D">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sz w:val="24"/>
              </w:rPr>
            </w:pPr>
            <w:r>
              <w:rPr>
                <w:rFonts w:hint="default" w:ascii="Times New Roman" w:hAnsi="Times New Roman" w:eastAsia="宋体" w:cs="Times New Roman"/>
                <w:sz w:val="24"/>
              </w:rPr>
              <w:t>202</w:t>
            </w:r>
            <w:r>
              <w:rPr>
                <w:rFonts w:hint="default" w:ascii="Times New Roman" w:hAnsi="Times New Roman" w:eastAsia="宋体" w:cs="Times New Roman"/>
                <w:sz w:val="24"/>
                <w:lang w:val="en-US" w:eastAsia="zh-CN"/>
              </w:rPr>
              <w:t>6</w:t>
            </w:r>
            <w:r>
              <w:rPr>
                <w:rFonts w:hint="default" w:ascii="Times New Roman" w:hAnsi="Times New Roman" w:eastAsia="宋体" w:cs="Times New Roman"/>
                <w:sz w:val="24"/>
              </w:rPr>
              <w:t>年</w:t>
            </w:r>
          </w:p>
        </w:tc>
      </w:tr>
      <w:tr w14:paraId="31FF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448" w:type="dxa"/>
            <w:vAlign w:val="center"/>
          </w:tcPr>
          <w:p w14:paraId="59246FBD">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b/>
                <w:bCs/>
                <w:sz w:val="24"/>
              </w:rPr>
            </w:pPr>
            <w:r>
              <w:rPr>
                <w:rFonts w:hint="default" w:ascii="Times New Roman" w:hAnsi="Times New Roman" w:eastAsia="宋体" w:cs="Times New Roman"/>
                <w:b/>
                <w:bCs/>
                <w:sz w:val="24"/>
              </w:rPr>
              <w:t>品种</w:t>
            </w:r>
          </w:p>
        </w:tc>
        <w:tc>
          <w:tcPr>
            <w:tcW w:w="1877" w:type="dxa"/>
            <w:vAlign w:val="center"/>
          </w:tcPr>
          <w:p w14:paraId="2268B0F1">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sz w:val="24"/>
              </w:rPr>
            </w:pPr>
            <w:r>
              <w:rPr>
                <w:rFonts w:hint="eastAsia" w:ascii="Times New Roman" w:eastAsia="宋体" w:cs="Times New Roman"/>
                <w:sz w:val="24"/>
                <w:lang w:val="en-US" w:eastAsia="zh-CN"/>
              </w:rPr>
              <w:t>籼</w:t>
            </w:r>
            <w:r>
              <w:rPr>
                <w:rFonts w:hint="default" w:ascii="Times New Roman" w:hAnsi="Times New Roman" w:eastAsia="宋体" w:cs="Times New Roman"/>
                <w:sz w:val="24"/>
              </w:rPr>
              <w:t>稻</w:t>
            </w:r>
          </w:p>
        </w:tc>
        <w:tc>
          <w:tcPr>
            <w:tcW w:w="1522" w:type="dxa"/>
            <w:vAlign w:val="center"/>
          </w:tcPr>
          <w:p w14:paraId="09C842DB">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b/>
                <w:bCs/>
                <w:sz w:val="24"/>
              </w:rPr>
            </w:pPr>
            <w:r>
              <w:rPr>
                <w:rFonts w:hint="default" w:ascii="Times New Roman" w:hAnsi="Times New Roman" w:eastAsia="宋体" w:cs="Times New Roman"/>
                <w:b/>
                <w:bCs/>
                <w:sz w:val="24"/>
              </w:rPr>
              <w:t>数量</w:t>
            </w:r>
          </w:p>
        </w:tc>
        <w:tc>
          <w:tcPr>
            <w:tcW w:w="3819" w:type="dxa"/>
            <w:vAlign w:val="center"/>
          </w:tcPr>
          <w:p w14:paraId="1BE87248">
            <w:pPr>
              <w:pStyle w:val="3"/>
              <w:keepNext w:val="0"/>
              <w:keepLines w:val="0"/>
              <w:pageBreakBefore w:val="0"/>
              <w:widowControl w:val="0"/>
              <w:kinsoku/>
              <w:wordWrap/>
              <w:overflowPunct/>
              <w:topLinePunct w:val="0"/>
              <w:bidi w:val="0"/>
              <w:snapToGrid/>
              <w:spacing w:line="360" w:lineRule="exact"/>
              <w:ind w:left="0" w:leftChars="0" w:firstLine="0" w:firstLineChars="0"/>
              <w:jc w:val="center"/>
              <w:textAlignment w:val="auto"/>
              <w:rPr>
                <w:rFonts w:hint="default" w:ascii="Times New Roman" w:hAnsi="Times New Roman" w:eastAsia="宋体" w:cs="Times New Roman"/>
                <w:sz w:val="24"/>
                <w:lang w:eastAsia="zh-CN"/>
              </w:rPr>
            </w:pPr>
            <w:r>
              <w:rPr>
                <w:rFonts w:hint="eastAsia" w:ascii="Times New Roman" w:eastAsia="宋体" w:cs="Times New Roman"/>
                <w:sz w:val="24"/>
                <w:lang w:val="en-US" w:eastAsia="zh-CN"/>
              </w:rPr>
              <w:t>8100</w:t>
            </w:r>
            <w:r>
              <w:rPr>
                <w:rFonts w:hint="default" w:ascii="Times New Roman" w:hAnsi="Times New Roman" w:eastAsia="宋体" w:cs="Times New Roman"/>
                <w:sz w:val="24"/>
                <w:lang w:eastAsia="zh-CN"/>
              </w:rPr>
              <w:t>吨</w:t>
            </w:r>
          </w:p>
        </w:tc>
      </w:tr>
      <w:tr w14:paraId="5B4F3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448" w:type="dxa"/>
            <w:vAlign w:val="center"/>
          </w:tcPr>
          <w:p w14:paraId="7C5DFE26">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b/>
                <w:bCs/>
                <w:sz w:val="24"/>
              </w:rPr>
            </w:pPr>
            <w:r>
              <w:rPr>
                <w:rFonts w:hint="default" w:ascii="Times New Roman" w:hAnsi="Times New Roman" w:eastAsia="宋体" w:cs="Times New Roman"/>
                <w:b/>
                <w:bCs/>
                <w:sz w:val="24"/>
              </w:rPr>
              <w:t>等级</w:t>
            </w:r>
          </w:p>
        </w:tc>
        <w:tc>
          <w:tcPr>
            <w:tcW w:w="1877" w:type="dxa"/>
            <w:vAlign w:val="center"/>
          </w:tcPr>
          <w:p w14:paraId="6BC1C159">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sz w:val="24"/>
              </w:rPr>
            </w:pPr>
            <w:r>
              <w:rPr>
                <w:rFonts w:hint="default" w:ascii="Times New Roman" w:hAnsi="Times New Roman" w:eastAsia="宋体" w:cs="Times New Roman"/>
                <w:sz w:val="24"/>
              </w:rPr>
              <w:t>三级</w:t>
            </w:r>
          </w:p>
        </w:tc>
        <w:tc>
          <w:tcPr>
            <w:tcW w:w="1522" w:type="dxa"/>
            <w:vAlign w:val="center"/>
          </w:tcPr>
          <w:p w14:paraId="2DCBDC77">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b/>
                <w:bCs/>
                <w:sz w:val="24"/>
              </w:rPr>
            </w:pPr>
            <w:r>
              <w:rPr>
                <w:rFonts w:hint="default" w:ascii="Times New Roman" w:hAnsi="Times New Roman" w:eastAsia="宋体" w:cs="Times New Roman"/>
                <w:b/>
                <w:bCs/>
                <w:sz w:val="24"/>
              </w:rPr>
              <w:t>单价</w:t>
            </w:r>
          </w:p>
        </w:tc>
        <w:tc>
          <w:tcPr>
            <w:tcW w:w="3819" w:type="dxa"/>
            <w:vAlign w:val="center"/>
          </w:tcPr>
          <w:p w14:paraId="6D1FFEA2">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sz w:val="24"/>
                <w:lang w:val="en-US" w:eastAsia="zh-CN"/>
              </w:rPr>
            </w:pPr>
            <w:r>
              <w:rPr>
                <w:rFonts w:hint="default" w:ascii="宋体" w:hAnsi="宋体" w:eastAsia="宋体" w:cs="宋体"/>
                <w:color w:val="auto"/>
                <w:sz w:val="24"/>
                <w:highlight w:val="none"/>
                <w:shd w:val="clear" w:color="auto" w:fill="auto"/>
                <w:lang w:val="en-US" w:eastAsia="zh-CN"/>
              </w:rPr>
              <w:t>XXXX</w:t>
            </w:r>
            <w:r>
              <w:rPr>
                <w:rFonts w:hint="default" w:ascii="Times New Roman" w:hAnsi="Times New Roman" w:eastAsia="宋体" w:cs="Times New Roman"/>
                <w:sz w:val="24"/>
                <w:lang w:eastAsia="zh-CN"/>
              </w:rPr>
              <w:t>元</w:t>
            </w:r>
            <w:r>
              <w:rPr>
                <w:rFonts w:hint="default" w:ascii="Times New Roman" w:hAnsi="Times New Roman" w:eastAsia="宋体" w:cs="Times New Roman"/>
                <w:sz w:val="24"/>
                <w:lang w:val="en-US" w:eastAsia="zh-CN"/>
              </w:rPr>
              <w:t>/吨</w:t>
            </w:r>
          </w:p>
        </w:tc>
      </w:tr>
      <w:tr w14:paraId="5A48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448" w:type="dxa"/>
            <w:vAlign w:val="center"/>
          </w:tcPr>
          <w:p w14:paraId="4EDFACAB">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b/>
                <w:bCs/>
                <w:sz w:val="24"/>
              </w:rPr>
            </w:pPr>
            <w:r>
              <w:rPr>
                <w:rFonts w:hint="default" w:ascii="Times New Roman" w:hAnsi="Times New Roman" w:eastAsia="宋体" w:cs="Times New Roman"/>
                <w:b/>
                <w:bCs/>
                <w:sz w:val="24"/>
              </w:rPr>
              <w:t>产地</w:t>
            </w:r>
          </w:p>
        </w:tc>
        <w:tc>
          <w:tcPr>
            <w:tcW w:w="1877" w:type="dxa"/>
            <w:vAlign w:val="center"/>
          </w:tcPr>
          <w:p w14:paraId="3D460206">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sz w:val="24"/>
                <w:lang w:val="en-US" w:eastAsia="zh-CN"/>
              </w:rPr>
            </w:pPr>
            <w:r>
              <w:rPr>
                <w:rFonts w:hint="default" w:ascii="Times New Roman" w:hAnsi="Times New Roman" w:eastAsia="宋体" w:cs="Times New Roman"/>
                <w:sz w:val="24"/>
              </w:rPr>
              <w:t>广东、江西</w:t>
            </w:r>
            <w:r>
              <w:rPr>
                <w:rFonts w:hint="eastAsia" w:ascii="Times New Roman" w:eastAsia="宋体" w:cs="Times New Roman"/>
                <w:sz w:val="24"/>
                <w:lang w:val="en-US" w:eastAsia="zh-CN"/>
              </w:rPr>
              <w:t xml:space="preserve"> </w:t>
            </w:r>
          </w:p>
        </w:tc>
        <w:tc>
          <w:tcPr>
            <w:tcW w:w="1522" w:type="dxa"/>
            <w:vAlign w:val="center"/>
          </w:tcPr>
          <w:p w14:paraId="7FA8EA19">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b/>
                <w:bCs/>
                <w:sz w:val="24"/>
              </w:rPr>
            </w:pPr>
            <w:r>
              <w:rPr>
                <w:rFonts w:hint="default" w:ascii="Times New Roman" w:hAnsi="Times New Roman" w:eastAsia="宋体" w:cs="Times New Roman"/>
                <w:b/>
                <w:bCs/>
                <w:sz w:val="24"/>
              </w:rPr>
              <w:t>总金额</w:t>
            </w:r>
          </w:p>
        </w:tc>
        <w:tc>
          <w:tcPr>
            <w:tcW w:w="3819" w:type="dxa"/>
            <w:vAlign w:val="center"/>
          </w:tcPr>
          <w:p w14:paraId="39C84A7F">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sz w:val="24"/>
                <w:lang w:eastAsia="zh-CN"/>
              </w:rPr>
            </w:pPr>
            <w:r>
              <w:rPr>
                <w:rFonts w:hint="default" w:ascii="宋体" w:hAnsi="宋体" w:eastAsia="宋体" w:cs="宋体"/>
                <w:color w:val="auto"/>
                <w:sz w:val="24"/>
                <w:highlight w:val="none"/>
                <w:shd w:val="clear" w:color="auto" w:fill="auto"/>
                <w:lang w:val="en-US" w:eastAsia="zh-CN"/>
              </w:rPr>
              <w:t>XXXX</w:t>
            </w:r>
            <w:r>
              <w:rPr>
                <w:rFonts w:hint="default" w:ascii="Times New Roman" w:hAnsi="Times New Roman" w:eastAsia="宋体" w:cs="Times New Roman"/>
                <w:sz w:val="24"/>
                <w:lang w:eastAsia="zh-CN"/>
              </w:rPr>
              <w:t>元</w:t>
            </w:r>
          </w:p>
        </w:tc>
      </w:tr>
      <w:tr w14:paraId="48C9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448" w:type="dxa"/>
            <w:vAlign w:val="center"/>
          </w:tcPr>
          <w:p w14:paraId="5C32BA0B">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b/>
                <w:bCs/>
                <w:sz w:val="24"/>
              </w:rPr>
            </w:pPr>
            <w:r>
              <w:rPr>
                <w:rFonts w:hint="default" w:ascii="Times New Roman" w:hAnsi="Times New Roman" w:eastAsia="宋体" w:cs="Times New Roman"/>
                <w:b/>
                <w:bCs/>
                <w:sz w:val="24"/>
              </w:rPr>
              <w:t>交货方式</w:t>
            </w:r>
          </w:p>
        </w:tc>
        <w:tc>
          <w:tcPr>
            <w:tcW w:w="7218" w:type="dxa"/>
            <w:gridSpan w:val="3"/>
            <w:vAlign w:val="center"/>
          </w:tcPr>
          <w:p w14:paraId="001E34BB">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sz w:val="24"/>
                <w:lang w:val="en-US" w:eastAsia="zh-CN"/>
              </w:rPr>
            </w:pPr>
            <w:r>
              <w:rPr>
                <w:rFonts w:hint="default" w:ascii="Times New Roman" w:hAnsi="Times New Roman" w:eastAsia="宋体" w:cs="Times New Roman"/>
                <w:color w:val="auto"/>
                <w:sz w:val="24"/>
                <w:shd w:val="clear" w:color="auto" w:fill="auto"/>
              </w:rPr>
              <w:t>仓内堆好平</w:t>
            </w:r>
            <w:r>
              <w:rPr>
                <w:rFonts w:hint="eastAsia" w:ascii="Times New Roman" w:eastAsia="宋体" w:cs="Times New Roman"/>
                <w:color w:val="auto"/>
                <w:sz w:val="24"/>
                <w:shd w:val="clear" w:color="auto" w:fill="auto"/>
                <w:lang w:val="en-US" w:eastAsia="zh-CN"/>
              </w:rPr>
              <w:t>整</w:t>
            </w:r>
            <w:r>
              <w:rPr>
                <w:rFonts w:hint="default" w:ascii="Times New Roman" w:hAnsi="Times New Roman" w:eastAsia="宋体" w:cs="Times New Roman"/>
                <w:color w:val="auto"/>
                <w:sz w:val="24"/>
                <w:shd w:val="clear" w:color="auto" w:fill="auto"/>
              </w:rPr>
              <w:t>后交货</w:t>
            </w:r>
          </w:p>
        </w:tc>
      </w:tr>
      <w:tr w14:paraId="1477B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448" w:type="dxa"/>
            <w:vAlign w:val="center"/>
          </w:tcPr>
          <w:p w14:paraId="74013BEF">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b/>
                <w:bCs/>
                <w:sz w:val="24"/>
              </w:rPr>
            </w:pPr>
            <w:r>
              <w:rPr>
                <w:rFonts w:hint="default" w:ascii="Times New Roman" w:hAnsi="Times New Roman" w:eastAsia="宋体" w:cs="Times New Roman"/>
                <w:b/>
                <w:bCs/>
                <w:sz w:val="24"/>
              </w:rPr>
              <w:t>交货期限</w:t>
            </w:r>
          </w:p>
        </w:tc>
        <w:tc>
          <w:tcPr>
            <w:tcW w:w="7218" w:type="dxa"/>
            <w:gridSpan w:val="3"/>
            <w:vAlign w:val="center"/>
          </w:tcPr>
          <w:p w14:paraId="383D3FBB">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sz w:val="24"/>
              </w:rPr>
            </w:pPr>
            <w:r>
              <w:rPr>
                <w:rFonts w:hint="default" w:ascii="Times New Roman" w:hAnsi="Times New Roman" w:eastAsia="宋体" w:cs="Times New Roman"/>
                <w:color w:val="auto"/>
                <w:sz w:val="24"/>
                <w:highlight w:val="none"/>
                <w:shd w:val="clear" w:color="auto" w:fill="auto"/>
                <w:lang w:val="en-US" w:eastAsia="zh-CN"/>
              </w:rPr>
              <w:t>2026</w:t>
            </w:r>
            <w:r>
              <w:rPr>
                <w:rFonts w:hint="default" w:ascii="Times New Roman" w:hAnsi="Times New Roman" w:eastAsia="宋体" w:cs="Times New Roman"/>
                <w:color w:val="auto"/>
                <w:sz w:val="24"/>
                <w:highlight w:val="none"/>
                <w:shd w:val="clear" w:color="auto" w:fill="auto"/>
              </w:rPr>
              <w:t>年</w:t>
            </w:r>
            <w:r>
              <w:rPr>
                <w:rFonts w:hint="eastAsia" w:ascii="Times New Roman" w:eastAsia="宋体" w:cs="Times New Roman"/>
                <w:color w:val="auto"/>
                <w:sz w:val="24"/>
                <w:highlight w:val="none"/>
                <w:shd w:val="clear" w:color="auto" w:fill="auto"/>
                <w:lang w:val="en-US" w:eastAsia="zh-CN"/>
              </w:rPr>
              <w:t>9</w:t>
            </w:r>
            <w:r>
              <w:rPr>
                <w:rFonts w:hint="default" w:ascii="Times New Roman" w:hAnsi="Times New Roman" w:eastAsia="宋体" w:cs="Times New Roman"/>
                <w:color w:val="auto"/>
                <w:sz w:val="24"/>
                <w:highlight w:val="none"/>
                <w:shd w:val="clear" w:color="auto" w:fill="auto"/>
              </w:rPr>
              <w:t>月</w:t>
            </w:r>
            <w:r>
              <w:rPr>
                <w:rFonts w:hint="eastAsia" w:ascii="Times New Roman" w:eastAsia="宋体" w:cs="Times New Roman"/>
                <w:color w:val="auto"/>
                <w:sz w:val="24"/>
                <w:highlight w:val="none"/>
                <w:shd w:val="clear" w:color="auto" w:fill="auto"/>
                <w:lang w:val="en-US" w:eastAsia="zh-CN"/>
              </w:rPr>
              <w:t>30</w:t>
            </w:r>
            <w:r>
              <w:rPr>
                <w:rFonts w:hint="default" w:ascii="Times New Roman" w:hAnsi="Times New Roman" w:eastAsia="宋体" w:cs="Times New Roman"/>
                <w:color w:val="auto"/>
                <w:sz w:val="24"/>
                <w:highlight w:val="none"/>
                <w:shd w:val="clear" w:color="auto" w:fill="auto"/>
              </w:rPr>
              <w:t>日—</w:t>
            </w:r>
            <w:r>
              <w:rPr>
                <w:rFonts w:hint="default" w:ascii="Times New Roman" w:hAnsi="Times New Roman" w:eastAsia="宋体" w:cs="Times New Roman"/>
                <w:color w:val="auto"/>
                <w:sz w:val="24"/>
                <w:highlight w:val="none"/>
                <w:shd w:val="clear" w:color="auto" w:fill="auto"/>
                <w:lang w:val="en-US" w:eastAsia="zh-CN"/>
              </w:rPr>
              <w:t>2026</w:t>
            </w:r>
            <w:r>
              <w:rPr>
                <w:rFonts w:hint="default" w:ascii="Times New Roman" w:hAnsi="Times New Roman" w:eastAsia="宋体" w:cs="Times New Roman"/>
                <w:color w:val="auto"/>
                <w:sz w:val="24"/>
                <w:highlight w:val="none"/>
                <w:shd w:val="clear" w:color="auto" w:fill="auto"/>
              </w:rPr>
              <w:t>年</w:t>
            </w:r>
            <w:r>
              <w:rPr>
                <w:rFonts w:hint="eastAsia" w:ascii="Times New Roman" w:eastAsia="宋体" w:cs="Times New Roman"/>
                <w:color w:val="auto"/>
                <w:sz w:val="24"/>
                <w:highlight w:val="none"/>
                <w:shd w:val="clear" w:color="auto" w:fill="auto"/>
                <w:lang w:val="en-US" w:eastAsia="zh-CN"/>
              </w:rPr>
              <w:t>11</w:t>
            </w:r>
            <w:r>
              <w:rPr>
                <w:rFonts w:hint="default" w:ascii="Times New Roman" w:hAnsi="Times New Roman" w:eastAsia="宋体" w:cs="Times New Roman"/>
                <w:color w:val="auto"/>
                <w:sz w:val="24"/>
                <w:highlight w:val="none"/>
                <w:shd w:val="clear" w:color="auto" w:fill="auto"/>
              </w:rPr>
              <w:t>月</w:t>
            </w:r>
            <w:r>
              <w:rPr>
                <w:rFonts w:hint="eastAsia" w:ascii="Times New Roman" w:eastAsia="宋体" w:cs="Times New Roman"/>
                <w:color w:val="auto"/>
                <w:sz w:val="24"/>
                <w:highlight w:val="none"/>
                <w:shd w:val="clear" w:color="auto" w:fill="auto"/>
                <w:lang w:val="en-US" w:eastAsia="zh-CN"/>
              </w:rPr>
              <w:t>22</w:t>
            </w:r>
            <w:r>
              <w:rPr>
                <w:rFonts w:hint="default" w:ascii="Times New Roman" w:hAnsi="Times New Roman" w:eastAsia="宋体" w:cs="Times New Roman"/>
                <w:color w:val="auto"/>
                <w:sz w:val="24"/>
                <w:highlight w:val="none"/>
                <w:shd w:val="clear" w:color="auto" w:fill="auto"/>
              </w:rPr>
              <w:t>日</w:t>
            </w:r>
          </w:p>
        </w:tc>
      </w:tr>
      <w:tr w14:paraId="0873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448" w:type="dxa"/>
            <w:vAlign w:val="center"/>
          </w:tcPr>
          <w:p w14:paraId="3B679368">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b/>
                <w:bCs/>
                <w:sz w:val="24"/>
              </w:rPr>
            </w:pPr>
            <w:r>
              <w:rPr>
                <w:rFonts w:hint="default" w:ascii="Times New Roman" w:hAnsi="Times New Roman" w:eastAsia="宋体" w:cs="Times New Roman"/>
                <w:b/>
                <w:bCs/>
                <w:sz w:val="24"/>
              </w:rPr>
              <w:t>存放地点</w:t>
            </w:r>
          </w:p>
        </w:tc>
        <w:tc>
          <w:tcPr>
            <w:tcW w:w="7218" w:type="dxa"/>
            <w:gridSpan w:val="3"/>
            <w:vAlign w:val="center"/>
          </w:tcPr>
          <w:p w14:paraId="2A89B293">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sz w:val="24"/>
                <w:lang w:eastAsia="zh-CN"/>
              </w:rPr>
            </w:pPr>
            <w:r>
              <w:rPr>
                <w:rFonts w:hint="eastAsia" w:ascii="Times New Roman" w:eastAsia="宋体" w:cs="Times New Roman"/>
                <w:sz w:val="24"/>
                <w:lang w:val="en-US" w:eastAsia="zh-CN"/>
              </w:rPr>
              <w:t>中标企业仓库</w:t>
            </w:r>
          </w:p>
        </w:tc>
      </w:tr>
      <w:tr w14:paraId="4CE5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1448" w:type="dxa"/>
            <w:vAlign w:val="center"/>
          </w:tcPr>
          <w:p w14:paraId="66E38509">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b/>
                <w:bCs/>
                <w:sz w:val="24"/>
              </w:rPr>
            </w:pPr>
            <w:r>
              <w:rPr>
                <w:rFonts w:hint="default" w:ascii="Times New Roman" w:hAnsi="Times New Roman" w:eastAsia="宋体" w:cs="Times New Roman"/>
                <w:b/>
                <w:bCs/>
                <w:sz w:val="24"/>
              </w:rPr>
              <w:t>包装要求</w:t>
            </w:r>
          </w:p>
        </w:tc>
        <w:tc>
          <w:tcPr>
            <w:tcW w:w="7218" w:type="dxa"/>
            <w:gridSpan w:val="3"/>
            <w:vAlign w:val="center"/>
          </w:tcPr>
          <w:p w14:paraId="2DD32126">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sz w:val="24"/>
              </w:rPr>
            </w:pPr>
            <w:r>
              <w:rPr>
                <w:rFonts w:hint="default" w:ascii="Times New Roman" w:hAnsi="Times New Roman" w:eastAsia="宋体" w:cs="Times New Roman"/>
                <w:sz w:val="24"/>
              </w:rPr>
              <w:t>散装</w:t>
            </w:r>
          </w:p>
        </w:tc>
      </w:tr>
      <w:tr w14:paraId="53936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3" w:hRule="atLeast"/>
          <w:jc w:val="center"/>
        </w:trPr>
        <w:tc>
          <w:tcPr>
            <w:tcW w:w="1448" w:type="dxa"/>
            <w:vAlign w:val="center"/>
          </w:tcPr>
          <w:p w14:paraId="412E7158">
            <w:pPr>
              <w:pStyle w:val="3"/>
              <w:keepNext w:val="0"/>
              <w:keepLines w:val="0"/>
              <w:pageBreakBefore w:val="0"/>
              <w:widowControl w:val="0"/>
              <w:kinsoku/>
              <w:wordWrap/>
              <w:overflowPunct/>
              <w:topLinePunct w:val="0"/>
              <w:bidi w:val="0"/>
              <w:snapToGrid/>
              <w:spacing w:line="360" w:lineRule="exact"/>
              <w:ind w:firstLine="0" w:firstLineChars="0"/>
              <w:jc w:val="center"/>
              <w:textAlignment w:val="auto"/>
              <w:rPr>
                <w:rFonts w:hint="default" w:ascii="Times New Roman" w:hAnsi="Times New Roman" w:eastAsia="宋体" w:cs="Times New Roman"/>
                <w:b/>
                <w:bCs/>
                <w:sz w:val="24"/>
              </w:rPr>
            </w:pPr>
            <w:r>
              <w:rPr>
                <w:rFonts w:hint="default" w:ascii="Times New Roman" w:hAnsi="Times New Roman" w:eastAsia="宋体" w:cs="Times New Roman"/>
                <w:b/>
                <w:bCs/>
                <w:sz w:val="24"/>
              </w:rPr>
              <w:t>质量标准</w:t>
            </w:r>
          </w:p>
        </w:tc>
        <w:tc>
          <w:tcPr>
            <w:tcW w:w="7218" w:type="dxa"/>
            <w:gridSpan w:val="3"/>
            <w:vAlign w:val="center"/>
          </w:tcPr>
          <w:p w14:paraId="72D0B0DE">
            <w:pPr>
              <w:pStyle w:val="3"/>
              <w:keepNext w:val="0"/>
              <w:keepLines w:val="0"/>
              <w:pageBreakBefore w:val="0"/>
              <w:widowControl w:val="0"/>
              <w:kinsoku/>
              <w:wordWrap/>
              <w:overflowPunct/>
              <w:topLinePunct w:val="0"/>
              <w:bidi w:val="0"/>
              <w:snapToGrid/>
              <w:spacing w:line="360" w:lineRule="exact"/>
              <w:ind w:firstLine="0" w:firstLineChars="0"/>
              <w:textAlignment w:val="auto"/>
              <w:rPr>
                <w:rFonts w:hint="default" w:ascii="Times New Roman" w:hAnsi="Times New Roman" w:eastAsia="宋体" w:cs="Times New Roman"/>
                <w:sz w:val="24"/>
                <w:lang w:eastAsia="zh-CN"/>
              </w:rPr>
            </w:pPr>
            <w:r>
              <w:rPr>
                <w:rFonts w:hint="default" w:ascii="Times New Roman" w:hAnsi="Times New Roman" w:eastAsia="宋体" w:cs="Times New Roman"/>
                <w:sz w:val="24"/>
              </w:rPr>
              <w:t>执行GB1350-2009早籼三级稻谷（含三级）以上标准，质量检测主要指标达到：出糙率≥75</w:t>
            </w:r>
            <w:r>
              <w:rPr>
                <w:rFonts w:hint="default" w:ascii="Times New Roman" w:hAnsi="Times New Roman" w:eastAsia="宋体" w:cs="Times New Roman"/>
                <w:sz w:val="24"/>
                <w:lang w:val="en-US" w:eastAsia="zh-CN"/>
              </w:rPr>
              <w:t>.0</w:t>
            </w:r>
            <w:r>
              <w:rPr>
                <w:rFonts w:hint="default" w:ascii="Times New Roman" w:hAnsi="Times New Roman" w:eastAsia="宋体" w:cs="Times New Roman"/>
                <w:sz w:val="24"/>
              </w:rPr>
              <w:t>%，整精米率≥44</w:t>
            </w:r>
            <w:r>
              <w:rPr>
                <w:rFonts w:hint="default" w:ascii="Times New Roman" w:hAnsi="Times New Roman" w:eastAsia="宋体" w:cs="Times New Roman"/>
                <w:sz w:val="24"/>
                <w:lang w:val="en-US" w:eastAsia="zh-CN"/>
              </w:rPr>
              <w:t>.0</w:t>
            </w:r>
            <w:r>
              <w:rPr>
                <w:rFonts w:hint="default" w:ascii="Times New Roman" w:hAnsi="Times New Roman" w:eastAsia="宋体" w:cs="Times New Roman"/>
                <w:sz w:val="24"/>
              </w:rPr>
              <w:t>%，杂质≤1</w:t>
            </w:r>
            <w:r>
              <w:rPr>
                <w:rFonts w:hint="default" w:ascii="Times New Roman" w:hAnsi="Times New Roman" w:eastAsia="宋体" w:cs="Times New Roman"/>
                <w:sz w:val="24"/>
                <w:lang w:val="en-US" w:eastAsia="zh-CN"/>
              </w:rPr>
              <w:t xml:space="preserve">.0 </w:t>
            </w:r>
            <w:r>
              <w:rPr>
                <w:rFonts w:hint="default" w:ascii="Times New Roman" w:hAnsi="Times New Roman" w:eastAsia="宋体" w:cs="Times New Roman"/>
                <w:sz w:val="24"/>
              </w:rPr>
              <w:t>%，水分≤13.5%，黄粒米≤1</w:t>
            </w:r>
            <w:r>
              <w:rPr>
                <w:rFonts w:hint="default" w:ascii="Times New Roman" w:hAnsi="Times New Roman" w:eastAsia="宋体" w:cs="Times New Roman"/>
                <w:sz w:val="24"/>
                <w:lang w:val="en-US" w:eastAsia="zh-CN"/>
              </w:rPr>
              <w:t xml:space="preserve">.0 </w:t>
            </w:r>
            <w:r>
              <w:rPr>
                <w:rFonts w:hint="default" w:ascii="Times New Roman" w:hAnsi="Times New Roman" w:eastAsia="宋体" w:cs="Times New Roman"/>
                <w:sz w:val="24"/>
              </w:rPr>
              <w:t>%，谷外糙米≤2</w:t>
            </w:r>
            <w:r>
              <w:rPr>
                <w:rFonts w:hint="default" w:ascii="Times New Roman" w:hAnsi="Times New Roman" w:eastAsia="宋体" w:cs="Times New Roman"/>
                <w:sz w:val="24"/>
                <w:lang w:val="en-US" w:eastAsia="zh-CN"/>
              </w:rPr>
              <w:t>.0</w:t>
            </w:r>
            <w:r>
              <w:rPr>
                <w:rFonts w:hint="default" w:ascii="Times New Roman" w:hAnsi="Times New Roman" w:eastAsia="宋体" w:cs="Times New Roman"/>
                <w:sz w:val="24"/>
              </w:rPr>
              <w:t>%，</w:t>
            </w:r>
            <w:r>
              <w:rPr>
                <w:rFonts w:hint="default" w:ascii="Times New Roman" w:hAnsi="Times New Roman" w:eastAsia="宋体" w:cs="Times New Roman"/>
                <w:sz w:val="24"/>
                <w:lang w:val="en-US" w:eastAsia="zh-CN"/>
              </w:rPr>
              <w:t>黄曲霉毒素B1</w:t>
            </w:r>
            <w:r>
              <w:rPr>
                <w:rFonts w:hint="default" w:ascii="Times New Roman" w:hAnsi="Times New Roman" w:eastAsia="宋体" w:cs="Times New Roman"/>
                <w:sz w:val="24"/>
              </w:rPr>
              <w:t>≤</w:t>
            </w:r>
            <w:r>
              <w:rPr>
                <w:rFonts w:hint="default" w:ascii="Times New Roman" w:hAnsi="Times New Roman" w:eastAsia="宋体" w:cs="Times New Roman"/>
                <w:sz w:val="24"/>
                <w:lang w:val="en-US" w:eastAsia="zh-CN"/>
              </w:rPr>
              <w:t>10㎍/kg,</w:t>
            </w:r>
            <w:r>
              <w:rPr>
                <w:rFonts w:hint="default" w:ascii="Times New Roman" w:hAnsi="Times New Roman" w:eastAsia="宋体" w:cs="Times New Roman"/>
                <w:sz w:val="24"/>
              </w:rPr>
              <w:t>互混率≤5</w:t>
            </w:r>
            <w:r>
              <w:rPr>
                <w:rFonts w:hint="default" w:ascii="Times New Roman" w:hAnsi="Times New Roman" w:eastAsia="宋体" w:cs="Times New Roman"/>
                <w:sz w:val="24"/>
                <w:lang w:val="en-US" w:eastAsia="zh-CN"/>
              </w:rPr>
              <w:t>.0</w:t>
            </w:r>
            <w:r>
              <w:rPr>
                <w:rFonts w:hint="default" w:ascii="Times New Roman" w:hAnsi="Times New Roman" w:eastAsia="宋体" w:cs="Times New Roman"/>
                <w:sz w:val="24"/>
              </w:rPr>
              <w:t>%，脂肪酸值≤</w:t>
            </w:r>
            <w:r>
              <w:rPr>
                <w:rFonts w:hint="default" w:ascii="Times New Roman" w:hAnsi="Times New Roman" w:eastAsia="宋体" w:cs="Times New Roman"/>
                <w:sz w:val="24"/>
                <w:lang w:val="en-US" w:eastAsia="zh-CN"/>
              </w:rPr>
              <w:t>1</w:t>
            </w:r>
            <w:r>
              <w:rPr>
                <w:rFonts w:hint="eastAsia" w:ascii="Times New Roman" w:eastAsia="宋体" w:cs="Times New Roman"/>
                <w:sz w:val="24"/>
                <w:lang w:val="en-US" w:eastAsia="zh-CN"/>
              </w:rPr>
              <w:t>8</w:t>
            </w:r>
            <w:r>
              <w:rPr>
                <w:rFonts w:hint="default" w:ascii="Times New Roman" w:hAnsi="Times New Roman" w:eastAsia="宋体" w:cs="Times New Roman"/>
                <w:sz w:val="24"/>
                <w:lang w:val="en-US" w:eastAsia="zh-CN"/>
              </w:rPr>
              <w:t>.5</w:t>
            </w:r>
            <w:r>
              <w:rPr>
                <w:rFonts w:hint="default" w:ascii="Times New Roman" w:hAnsi="Times New Roman" w:eastAsia="宋体" w:cs="Times New Roman"/>
                <w:sz w:val="24"/>
              </w:rPr>
              <w:t>mgKOH/100g，镉≤0.2mg/kg</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色泽气味正常，无虫害，符合国家粮食卫生标准</w:t>
            </w:r>
            <w:r>
              <w:rPr>
                <w:rFonts w:hint="eastAsia" w:ascii="Times New Roman" w:eastAsia="宋体" w:cs="Times New Roman"/>
                <w:sz w:val="24"/>
                <w:lang w:eastAsia="zh-CN"/>
              </w:rPr>
              <w:t>，无真菌毒素、农药残留、重金属等超出国家标准限量的情形，且不存在任何危害粮食质量安全的隐患</w:t>
            </w:r>
            <w:r>
              <w:rPr>
                <w:rFonts w:hint="default" w:ascii="Times New Roman" w:hAnsi="Times New Roman" w:eastAsia="宋体" w:cs="Times New Roman"/>
                <w:sz w:val="24"/>
              </w:rPr>
              <w:t>。</w:t>
            </w:r>
            <w:r>
              <w:rPr>
                <w:rFonts w:hint="default" w:ascii="Times New Roman" w:hAnsi="Times New Roman" w:eastAsia="宋体" w:cs="Times New Roman"/>
                <w:sz w:val="24"/>
                <w:lang w:eastAsia="zh-CN"/>
              </w:rPr>
              <w:t>拒收泥谷、水浸谷、生芽谷。</w:t>
            </w:r>
          </w:p>
        </w:tc>
      </w:tr>
    </w:tbl>
    <w:p w14:paraId="284A2853">
      <w:pPr>
        <w:numPr>
          <w:ilvl w:val="0"/>
          <w:numId w:val="1"/>
        </w:numPr>
        <w:ind w:firstLine="482" w:firstLineChars="200"/>
        <w:jc w:val="left"/>
        <w:rPr>
          <w:rFonts w:hint="eastAsia" w:cs="Times New Roman"/>
          <w:b w:val="0"/>
          <w:bCs w:val="0"/>
          <w:sz w:val="24"/>
          <w:lang w:val="en-US" w:eastAsia="zh-CN"/>
        </w:rPr>
      </w:pPr>
      <w:r>
        <w:rPr>
          <w:rFonts w:hint="default" w:ascii="Times New Roman" w:hAnsi="Times New Roman" w:eastAsia="宋体" w:cs="Times New Roman"/>
          <w:b/>
          <w:bCs/>
          <w:sz w:val="24"/>
        </w:rPr>
        <w:t>验收方式：</w:t>
      </w:r>
      <w:r>
        <w:rPr>
          <w:rFonts w:hint="eastAsia" w:cs="Times New Roman"/>
          <w:b w:val="0"/>
          <w:bCs w:val="0"/>
          <w:sz w:val="24"/>
          <w:lang w:val="en-US" w:eastAsia="zh-CN"/>
        </w:rPr>
        <w:t>买方委托的粮食质量检验机构出具的合格检验报告及入库数量凭证。</w:t>
      </w:r>
    </w:p>
    <w:p w14:paraId="3D1C9935">
      <w:pPr>
        <w:numPr>
          <w:ilvl w:val="0"/>
          <w:numId w:val="1"/>
        </w:numPr>
        <w:ind w:left="0" w:leftChars="0" w:firstLine="482" w:firstLineChars="200"/>
        <w:jc w:val="left"/>
        <w:rPr>
          <w:rFonts w:hint="default" w:ascii="Times New Roman" w:hAnsi="Times New Roman" w:eastAsia="宋体" w:cs="Times New Roman"/>
          <w:sz w:val="24"/>
          <w:szCs w:val="24"/>
          <w:lang w:eastAsia="zh-CN"/>
        </w:rPr>
      </w:pPr>
      <w:r>
        <w:rPr>
          <w:rFonts w:hint="eastAsia" w:cs="Times New Roman"/>
          <w:b/>
          <w:bCs/>
          <w:sz w:val="24"/>
          <w:lang w:val="en-US" w:eastAsia="zh-CN"/>
        </w:rPr>
        <w:t>粮食入库要求：</w:t>
      </w:r>
      <w:r>
        <w:rPr>
          <w:rFonts w:hint="eastAsia" w:cs="Times New Roman"/>
          <w:sz w:val="24"/>
          <w:lang w:val="en-US" w:eastAsia="zh-CN"/>
        </w:rPr>
        <w:t>粮食入库</w:t>
      </w:r>
      <w:r>
        <w:rPr>
          <w:rFonts w:hint="default" w:ascii="Times New Roman" w:hAnsi="Times New Roman" w:eastAsia="宋体" w:cs="Times New Roman"/>
          <w:sz w:val="24"/>
        </w:rPr>
        <w:t>按国标规定的粮食检验办法和操作规程</w:t>
      </w:r>
      <w:r>
        <w:rPr>
          <w:rFonts w:hint="default" w:ascii="Times New Roman" w:hAnsi="Times New Roman" w:eastAsia="宋体" w:cs="Times New Roman"/>
          <w:sz w:val="24"/>
          <w:lang w:eastAsia="zh-CN"/>
        </w:rPr>
        <w:t>对每车入库稻谷进行初验</w:t>
      </w:r>
      <w:r>
        <w:rPr>
          <w:rFonts w:hint="eastAsia" w:cs="Times New Roman"/>
          <w:sz w:val="24"/>
          <w:lang w:val="en-US" w:eastAsia="zh-CN"/>
        </w:rPr>
        <w:t>并建立检测质量档案</w:t>
      </w:r>
      <w:r>
        <w:rPr>
          <w:rFonts w:hint="default" w:ascii="Times New Roman" w:hAnsi="Times New Roman" w:eastAsia="宋体" w:cs="Times New Roman"/>
          <w:sz w:val="24"/>
          <w:lang w:eastAsia="zh-CN"/>
        </w:rPr>
        <w:t>，如初验不</w:t>
      </w:r>
      <w:r>
        <w:rPr>
          <w:rFonts w:hint="default" w:ascii="Times New Roman" w:hAnsi="Times New Roman" w:eastAsia="宋体" w:cs="Times New Roman"/>
          <w:sz w:val="24"/>
        </w:rPr>
        <w:t>符合本合同约定质量标准</w:t>
      </w:r>
      <w:r>
        <w:rPr>
          <w:rFonts w:hint="default" w:ascii="Times New Roman" w:hAnsi="Times New Roman" w:eastAsia="宋体" w:cs="Times New Roman"/>
          <w:sz w:val="24"/>
          <w:lang w:eastAsia="zh-CN"/>
        </w:rPr>
        <w:t>或发现混有其他生产年份的稻谷，</w:t>
      </w:r>
      <w:r>
        <w:rPr>
          <w:rFonts w:hint="eastAsia" w:cs="Times New Roman"/>
          <w:sz w:val="24"/>
          <w:lang w:val="en-US" w:eastAsia="zh-CN"/>
        </w:rPr>
        <w:t>应予退回，退回产生的全部运输、装卸等费用由卖方承担；因退回导致交货延误的，卖方仍应承担逾期交货责任，并按该批次不合格粮食对应金额的10%向买方支付违约金。</w:t>
      </w:r>
      <w:r>
        <w:rPr>
          <w:rFonts w:hint="default" w:ascii="Times New Roman" w:hAnsi="Times New Roman" w:eastAsia="宋体" w:cs="Times New Roman"/>
          <w:sz w:val="24"/>
          <w:lang w:eastAsia="zh-CN"/>
        </w:rPr>
        <w:t>初验合格后</w:t>
      </w:r>
      <w:r>
        <w:rPr>
          <w:rFonts w:hint="eastAsia" w:cs="Times New Roman"/>
          <w:sz w:val="24"/>
          <w:lang w:eastAsia="zh-CN"/>
        </w:rPr>
        <w:t>，</w:t>
      </w:r>
      <w:r>
        <w:rPr>
          <w:rFonts w:hint="default" w:ascii="Times New Roman" w:hAnsi="Times New Roman" w:eastAsia="宋体" w:cs="Times New Roman"/>
          <w:sz w:val="24"/>
          <w:lang w:eastAsia="zh-CN"/>
        </w:rPr>
        <w:t>以</w:t>
      </w:r>
      <w:r>
        <w:rPr>
          <w:rFonts w:hint="default" w:ascii="Times New Roman" w:hAnsi="Times New Roman" w:eastAsia="宋体" w:cs="Times New Roman"/>
          <w:sz w:val="24"/>
        </w:rPr>
        <w:t>技术监督部门检验合格</w:t>
      </w:r>
      <w:r>
        <w:rPr>
          <w:rFonts w:hint="eastAsia" w:cs="Times New Roman"/>
          <w:sz w:val="24"/>
          <w:lang w:eastAsia="zh-CN"/>
        </w:rPr>
        <w:t>且处于检定有效期内</w:t>
      </w:r>
      <w:r>
        <w:rPr>
          <w:rFonts w:hint="default" w:ascii="Times New Roman" w:hAnsi="Times New Roman" w:eastAsia="宋体" w:cs="Times New Roman"/>
          <w:sz w:val="24"/>
        </w:rPr>
        <w:t>的</w:t>
      </w:r>
      <w:r>
        <w:rPr>
          <w:rFonts w:hint="default" w:ascii="Times New Roman" w:hAnsi="Times New Roman" w:eastAsia="宋体" w:cs="Times New Roman"/>
          <w:sz w:val="24"/>
          <w:lang w:eastAsia="zh-CN"/>
        </w:rPr>
        <w:t>计量工具</w:t>
      </w:r>
      <w:r>
        <w:rPr>
          <w:rFonts w:hint="default" w:ascii="Times New Roman" w:hAnsi="Times New Roman" w:eastAsia="宋体" w:cs="Times New Roman"/>
          <w:sz w:val="24"/>
        </w:rPr>
        <w:t>进行</w:t>
      </w:r>
      <w:r>
        <w:rPr>
          <w:rFonts w:hint="default" w:ascii="Times New Roman" w:hAnsi="Times New Roman" w:eastAsia="宋体" w:cs="Times New Roman"/>
          <w:sz w:val="24"/>
          <w:lang w:eastAsia="zh-CN"/>
        </w:rPr>
        <w:t>验斤入库，</w:t>
      </w:r>
      <w:r>
        <w:rPr>
          <w:rFonts w:hint="default" w:ascii="Times New Roman" w:hAnsi="Times New Roman" w:eastAsia="宋体" w:cs="Times New Roman"/>
          <w:kern w:val="0"/>
          <w:sz w:val="24"/>
        </w:rPr>
        <w:t>双方工作人员确认并在过磅单上签名</w:t>
      </w:r>
      <w:r>
        <w:rPr>
          <w:rFonts w:hint="default" w:ascii="Times New Roman" w:hAnsi="Times New Roman" w:eastAsia="宋体" w:cs="Times New Roman"/>
          <w:kern w:val="0"/>
          <w:sz w:val="24"/>
          <w:lang w:eastAsia="zh-CN"/>
        </w:rPr>
        <w:t>，出具入库凭证</w:t>
      </w:r>
      <w:r>
        <w:rPr>
          <w:rFonts w:hint="default" w:ascii="Times New Roman" w:hAnsi="Times New Roman" w:eastAsia="宋体" w:cs="Times New Roman"/>
          <w:kern w:val="0"/>
          <w:sz w:val="24"/>
        </w:rPr>
        <w:t>。</w:t>
      </w:r>
      <w:r>
        <w:rPr>
          <w:rFonts w:hint="default" w:ascii="Times New Roman" w:hAnsi="Times New Roman" w:eastAsia="宋体" w:cs="Times New Roman"/>
          <w:sz w:val="24"/>
          <w:lang w:eastAsia="zh-CN"/>
        </w:rPr>
        <w:t>严禁将走私农产品流入国家粮食储备体系，一经发现</w:t>
      </w:r>
      <w:r>
        <w:rPr>
          <w:rFonts w:hint="eastAsia" w:cs="Times New Roman"/>
          <w:sz w:val="24"/>
          <w:lang w:val="en-US" w:eastAsia="zh-CN"/>
        </w:rPr>
        <w:t>，买方应立即</w:t>
      </w:r>
      <w:r>
        <w:rPr>
          <w:rFonts w:hint="default" w:ascii="Times New Roman" w:hAnsi="Times New Roman" w:eastAsia="宋体" w:cs="Times New Roman"/>
          <w:sz w:val="24"/>
          <w:lang w:eastAsia="zh-CN"/>
        </w:rPr>
        <w:t>报有关部门</w:t>
      </w:r>
      <w:r>
        <w:rPr>
          <w:rFonts w:hint="eastAsia" w:cs="Times New Roman"/>
          <w:sz w:val="24"/>
          <w:lang w:eastAsia="zh-CN"/>
        </w:rPr>
        <w:t>，并有权拒收相关货物</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卖方必须提供产粮地</w:t>
      </w:r>
      <w:r>
        <w:rPr>
          <w:rFonts w:hint="eastAsia" w:cs="Times New Roman"/>
          <w:sz w:val="24"/>
          <w:lang w:eastAsia="zh-CN"/>
        </w:rPr>
        <w:t>县级及以上粮食质量检验机构在粮食出库前30日内出具</w:t>
      </w:r>
      <w:r>
        <w:rPr>
          <w:rFonts w:hint="default" w:ascii="Times New Roman" w:hAnsi="Times New Roman" w:eastAsia="宋体" w:cs="Times New Roman"/>
          <w:sz w:val="24"/>
        </w:rPr>
        <w:t>的有效质检</w:t>
      </w:r>
      <w:r>
        <w:rPr>
          <w:rFonts w:hint="default" w:ascii="Times New Roman" w:hAnsi="Times New Roman" w:eastAsia="宋体" w:cs="Times New Roman"/>
          <w:sz w:val="24"/>
          <w:lang w:eastAsia="zh-CN"/>
        </w:rPr>
        <w:t>报告</w:t>
      </w:r>
      <w:r>
        <w:rPr>
          <w:rFonts w:hint="eastAsia" w:cs="Times New Roman"/>
          <w:sz w:val="24"/>
          <w:lang w:val="en-US" w:eastAsia="zh-CN"/>
        </w:rPr>
        <w:t>及</w:t>
      </w:r>
      <w:r>
        <w:rPr>
          <w:rFonts w:hint="default" w:ascii="Times New Roman" w:hAnsi="Times New Roman" w:eastAsia="宋体" w:cs="Times New Roman"/>
          <w:sz w:val="24"/>
          <w:lang w:eastAsia="zh-CN"/>
        </w:rPr>
        <w:t>《</w:t>
      </w:r>
      <w:r>
        <w:rPr>
          <w:rFonts w:hint="default" w:ascii="Times New Roman" w:hAnsi="Times New Roman" w:eastAsia="宋体" w:cs="Times New Roman"/>
          <w:sz w:val="24"/>
          <w:szCs w:val="24"/>
        </w:rPr>
        <w:t>稻谷质量安全信用承诺书</w:t>
      </w:r>
      <w:r>
        <w:rPr>
          <w:rFonts w:hint="default" w:ascii="Times New Roman" w:hAnsi="Times New Roman" w:eastAsia="宋体" w:cs="Times New Roman"/>
          <w:sz w:val="24"/>
          <w:szCs w:val="24"/>
          <w:lang w:eastAsia="zh-CN"/>
        </w:rPr>
        <w:t>》</w:t>
      </w:r>
      <w:r>
        <w:rPr>
          <w:rFonts w:hint="eastAsia" w:cs="Times New Roman"/>
          <w:sz w:val="24"/>
          <w:szCs w:val="24"/>
          <w:lang w:eastAsia="zh-CN"/>
        </w:rPr>
        <w:t>，并保证所提供的全部检验资料、产地证明真实、准确，不存在伪造、变造情形；否则，买方有权拒收全部货物，并直接扣除全额履约保证金</w:t>
      </w:r>
      <w:r>
        <w:rPr>
          <w:rFonts w:hint="default" w:ascii="Times New Roman" w:hAnsi="Times New Roman" w:eastAsia="宋体" w:cs="Times New Roman"/>
          <w:sz w:val="24"/>
          <w:szCs w:val="24"/>
          <w:lang w:eastAsia="zh-CN"/>
        </w:rPr>
        <w:t>。</w:t>
      </w:r>
    </w:p>
    <w:p w14:paraId="7267827B">
      <w:pPr>
        <w:numPr>
          <w:ilvl w:val="0"/>
          <w:numId w:val="0"/>
        </w:numPr>
        <w:ind w:firstLine="482" w:firstLineChars="200"/>
        <w:jc w:val="left"/>
        <w:rPr>
          <w:rFonts w:hint="default" w:ascii="Times New Roman" w:hAnsi="Times New Roman" w:eastAsia="宋体" w:cs="Times New Roman"/>
          <w:sz w:val="24"/>
          <w:szCs w:val="24"/>
          <w:lang w:val="en-US" w:eastAsia="zh-CN"/>
        </w:rPr>
      </w:pPr>
      <w:r>
        <w:rPr>
          <w:rFonts w:hint="eastAsia" w:cs="Times New Roman"/>
          <w:b/>
          <w:bCs/>
          <w:sz w:val="24"/>
          <w:szCs w:val="24"/>
          <w:lang w:val="en-US" w:eastAsia="zh-CN"/>
        </w:rPr>
        <w:t>四、履约保证金：</w:t>
      </w:r>
      <w:r>
        <w:rPr>
          <w:rFonts w:hint="eastAsia" w:cs="Times New Roman"/>
          <w:sz w:val="24"/>
          <w:szCs w:val="24"/>
          <w:lang w:val="en-US" w:eastAsia="zh-CN"/>
        </w:rPr>
        <w:t>卖方按本合同采购货款总金额的10%向买方缴纳履约保证金，自本合同生效之日起10个工作日内，卖方应将履约保证金全额汇入买方指定账户。签订的静态代储包干轮换协议到期后10个工作日内，由买方无息退还卖方。若卖方存在违约情形、本批粮食在验收合格入库后或两年内全部转移至丰顺县区域内的仓库（中标企业自有、租赁的仓库）储存，确认期间发现存在不符合合同约定的质量问题，买方有权从履约保证金中直接扣除违约金、损失赔偿款及其他应由卖方承担的费用，并将余额无息退还卖方；履约保证金不足以弥补买方损失的，买方有权继续向卖方追偿。</w:t>
      </w:r>
    </w:p>
    <w:p w14:paraId="64B5DD43">
      <w:pPr>
        <w:pStyle w:val="3"/>
        <w:keepNext w:val="0"/>
        <w:keepLines w:val="0"/>
        <w:pageBreakBefore w:val="0"/>
        <w:widowControl w:val="0"/>
        <w:kinsoku/>
        <w:wordWrap/>
        <w:overflowPunct/>
        <w:topLinePunct w:val="0"/>
        <w:bidi w:val="0"/>
        <w:snapToGrid/>
        <w:spacing w:line="340" w:lineRule="exact"/>
        <w:ind w:firstLine="480"/>
        <w:textAlignment w:val="auto"/>
        <w:rPr>
          <w:rFonts w:hint="default" w:ascii="Times New Roman" w:hAnsi="Times New Roman" w:eastAsia="宋体" w:cs="Times New Roman"/>
          <w:sz w:val="24"/>
        </w:rPr>
      </w:pPr>
      <w:r>
        <w:rPr>
          <w:rFonts w:hint="eastAsia" w:ascii="Times New Roman" w:eastAsia="宋体" w:cs="Times New Roman"/>
          <w:b/>
          <w:bCs/>
          <w:sz w:val="24"/>
          <w:lang w:val="en-US" w:eastAsia="zh-CN"/>
        </w:rPr>
        <w:t>五</w:t>
      </w:r>
      <w:r>
        <w:rPr>
          <w:rFonts w:hint="default" w:ascii="Times New Roman" w:hAnsi="Times New Roman" w:eastAsia="宋体" w:cs="Times New Roman"/>
          <w:b/>
          <w:bCs/>
          <w:sz w:val="24"/>
        </w:rPr>
        <w:t>、费用承担：</w:t>
      </w:r>
      <w:r>
        <w:rPr>
          <w:rFonts w:hint="default" w:ascii="Times New Roman" w:hAnsi="Times New Roman" w:eastAsia="宋体" w:cs="Times New Roman"/>
          <w:sz w:val="24"/>
        </w:rPr>
        <w:t>卖方承担交货</w:t>
      </w:r>
      <w:r>
        <w:rPr>
          <w:rFonts w:hint="eastAsia" w:ascii="Times New Roman" w:eastAsia="宋体" w:cs="Times New Roman"/>
          <w:sz w:val="24"/>
          <w:lang w:val="en-US" w:eastAsia="zh-CN"/>
        </w:rPr>
        <w:t>验收</w:t>
      </w:r>
      <w:r>
        <w:rPr>
          <w:rFonts w:hint="default" w:ascii="Times New Roman" w:hAnsi="Times New Roman" w:eastAsia="宋体" w:cs="Times New Roman"/>
          <w:sz w:val="24"/>
        </w:rPr>
        <w:t>前的一切费用，包括运费、搬运装卸、仓内平整粮面、</w:t>
      </w:r>
      <w:r>
        <w:rPr>
          <w:rFonts w:hint="eastAsia" w:ascii="Times New Roman" w:eastAsia="宋体" w:cs="Times New Roman"/>
          <w:sz w:val="24"/>
          <w:lang w:val="en-US" w:eastAsia="zh-CN"/>
        </w:rPr>
        <w:t>质量检测费、</w:t>
      </w:r>
      <w:r>
        <w:rPr>
          <w:rFonts w:hint="default" w:ascii="Times New Roman" w:hAnsi="Times New Roman" w:eastAsia="宋体" w:cs="Times New Roman"/>
          <w:sz w:val="24"/>
        </w:rPr>
        <w:t>交货短途费用</w:t>
      </w:r>
      <w:r>
        <w:rPr>
          <w:rFonts w:hint="eastAsia" w:ascii="Times New Roman" w:eastAsia="宋体" w:cs="Times New Roman"/>
          <w:sz w:val="24"/>
          <w:lang w:eastAsia="zh-CN"/>
        </w:rPr>
        <w:t>及</w:t>
      </w:r>
      <w:r>
        <w:rPr>
          <w:rFonts w:hint="default" w:ascii="Times New Roman" w:hAnsi="Times New Roman" w:eastAsia="宋体" w:cs="Times New Roman"/>
          <w:sz w:val="24"/>
        </w:rPr>
        <w:t>过磅费等。</w:t>
      </w:r>
      <w:r>
        <w:rPr>
          <w:rFonts w:hint="eastAsia" w:ascii="Times New Roman" w:eastAsia="宋体" w:cs="Times New Roman"/>
          <w:sz w:val="24"/>
          <w:lang w:eastAsia="zh-CN"/>
        </w:rPr>
        <w:t>因卖方原因导致</w:t>
      </w:r>
      <w:r>
        <w:rPr>
          <w:rFonts w:hint="default" w:ascii="Times New Roman" w:hAnsi="Times New Roman" w:eastAsia="宋体" w:cs="Times New Roman"/>
          <w:sz w:val="24"/>
        </w:rPr>
        <w:t>买方</w:t>
      </w:r>
      <w:r>
        <w:rPr>
          <w:rFonts w:hint="eastAsia" w:ascii="Times New Roman" w:eastAsia="宋体" w:cs="Times New Roman"/>
          <w:sz w:val="24"/>
          <w:lang w:eastAsia="zh-CN"/>
        </w:rPr>
        <w:t>产生额外的仓储、保管、检验、清理、退运等费用的，均由卖方</w:t>
      </w:r>
      <w:r>
        <w:rPr>
          <w:rFonts w:hint="default" w:ascii="Times New Roman" w:hAnsi="Times New Roman" w:eastAsia="宋体" w:cs="Times New Roman"/>
          <w:sz w:val="24"/>
        </w:rPr>
        <w:t>承担</w:t>
      </w:r>
      <w:r>
        <w:rPr>
          <w:rFonts w:hint="eastAsia" w:ascii="Times New Roman" w:eastAsia="宋体" w:cs="Times New Roman"/>
          <w:sz w:val="24"/>
          <w:lang w:eastAsia="zh-CN"/>
        </w:rPr>
        <w:t>，买方有权直接从货款或履约保证金中扣除。因质量争议产生的检验、鉴定</w:t>
      </w:r>
      <w:r>
        <w:rPr>
          <w:rFonts w:hint="default" w:ascii="Times New Roman" w:hAnsi="Times New Roman" w:eastAsia="宋体" w:cs="Times New Roman"/>
          <w:sz w:val="24"/>
        </w:rPr>
        <w:t>费用</w:t>
      </w:r>
      <w:r>
        <w:rPr>
          <w:rFonts w:hint="eastAsia" w:ascii="Times New Roman" w:eastAsia="宋体" w:cs="Times New Roman"/>
          <w:sz w:val="24"/>
          <w:lang w:eastAsia="zh-CN"/>
        </w:rPr>
        <w:t>由责任方承担</w:t>
      </w:r>
      <w:r>
        <w:rPr>
          <w:rFonts w:hint="default" w:ascii="Times New Roman" w:hAnsi="Times New Roman" w:eastAsia="宋体" w:cs="Times New Roman"/>
          <w:sz w:val="24"/>
        </w:rPr>
        <w:t>。</w:t>
      </w:r>
    </w:p>
    <w:p w14:paraId="2D0439BE">
      <w:pPr>
        <w:keepNext w:val="0"/>
        <w:keepLines w:val="0"/>
        <w:pageBreakBefore w:val="0"/>
        <w:widowControl w:val="0"/>
        <w:kinsoku/>
        <w:wordWrap/>
        <w:overflowPunct/>
        <w:topLinePunct w:val="0"/>
        <w:autoSpaceDE w:val="0"/>
        <w:autoSpaceDN w:val="0"/>
        <w:bidi w:val="0"/>
        <w:adjustRightInd w:val="0"/>
        <w:snapToGrid/>
        <w:spacing w:line="340" w:lineRule="exact"/>
        <w:ind w:firstLine="482" w:firstLineChars="200"/>
        <w:textAlignment w:val="auto"/>
        <w:rPr>
          <w:rFonts w:hint="default" w:ascii="Times New Roman" w:hAnsi="Times New Roman" w:eastAsia="宋体" w:cs="Times New Roman"/>
          <w:color w:val="auto"/>
          <w:sz w:val="24"/>
        </w:rPr>
      </w:pPr>
      <w:r>
        <w:rPr>
          <w:rFonts w:hint="eastAsia" w:cs="Times New Roman"/>
          <w:b/>
          <w:bCs/>
          <w:sz w:val="24"/>
          <w:lang w:val="en-US" w:eastAsia="zh-CN"/>
        </w:rPr>
        <w:t>六</w:t>
      </w:r>
      <w:r>
        <w:rPr>
          <w:rFonts w:hint="default" w:ascii="Times New Roman" w:hAnsi="Times New Roman" w:eastAsia="宋体" w:cs="Times New Roman"/>
          <w:b/>
          <w:bCs/>
          <w:sz w:val="24"/>
        </w:rPr>
        <w:t>、货款结算：</w:t>
      </w:r>
      <w:r>
        <w:rPr>
          <w:rFonts w:hint="eastAsia" w:cs="Times New Roman"/>
          <w:b/>
          <w:bCs/>
          <w:sz w:val="24"/>
          <w:lang w:val="en-US" w:eastAsia="zh-CN"/>
        </w:rPr>
        <w:t>1.</w:t>
      </w:r>
      <w:r>
        <w:rPr>
          <w:rFonts w:hint="eastAsia" w:cs="Times New Roman"/>
          <w:b w:val="0"/>
          <w:bCs w:val="0"/>
          <w:sz w:val="24"/>
          <w:lang w:eastAsia="zh-CN"/>
        </w:rPr>
        <w:t>全部货物</w:t>
      </w:r>
      <w:r>
        <w:rPr>
          <w:rFonts w:hint="eastAsia" w:cs="Times New Roman"/>
          <w:b w:val="0"/>
          <w:bCs w:val="0"/>
          <w:sz w:val="24"/>
          <w:lang w:val="en-US" w:eastAsia="zh-CN"/>
        </w:rPr>
        <w:t>验收合格入库，且</w:t>
      </w:r>
      <w:r>
        <w:rPr>
          <w:rFonts w:hint="default" w:ascii="Times New Roman" w:hAnsi="Times New Roman" w:eastAsia="宋体" w:cs="Times New Roman"/>
          <w:color w:val="auto"/>
          <w:kern w:val="0"/>
          <w:sz w:val="24"/>
        </w:rPr>
        <w:t>卖方提交</w:t>
      </w:r>
      <w:r>
        <w:rPr>
          <w:rFonts w:hint="eastAsia" w:cs="Times New Roman"/>
          <w:color w:val="auto"/>
          <w:kern w:val="0"/>
          <w:sz w:val="24"/>
          <w:lang w:eastAsia="zh-CN"/>
        </w:rPr>
        <w:t>符合本合同约定的全额</w:t>
      </w:r>
      <w:r>
        <w:rPr>
          <w:rFonts w:hint="default" w:ascii="Times New Roman" w:hAnsi="Times New Roman" w:eastAsia="宋体" w:cs="Times New Roman"/>
          <w:color w:val="auto"/>
          <w:kern w:val="0"/>
          <w:sz w:val="24"/>
        </w:rPr>
        <w:t>有效发票</w:t>
      </w:r>
      <w:r>
        <w:rPr>
          <w:rFonts w:hint="eastAsia" w:cs="Times New Roman"/>
          <w:color w:val="auto"/>
          <w:kern w:val="0"/>
          <w:sz w:val="24"/>
          <w:lang w:eastAsia="zh-CN"/>
        </w:rPr>
        <w:t>及全部验收资料</w:t>
      </w:r>
      <w:r>
        <w:rPr>
          <w:rFonts w:hint="default" w:ascii="Times New Roman" w:hAnsi="Times New Roman" w:eastAsia="宋体" w:cs="Times New Roman"/>
          <w:color w:val="auto"/>
          <w:kern w:val="0"/>
          <w:sz w:val="24"/>
        </w:rPr>
        <w:t>后</w:t>
      </w:r>
      <w:r>
        <w:rPr>
          <w:rFonts w:hint="eastAsia" w:cs="Times New Roman"/>
          <w:color w:val="auto"/>
          <w:kern w:val="0"/>
          <w:sz w:val="24"/>
          <w:lang w:eastAsia="zh-CN"/>
        </w:rPr>
        <w:t>，</w:t>
      </w:r>
      <w:r>
        <w:rPr>
          <w:rFonts w:hint="eastAsia" w:cs="Times New Roman"/>
          <w:color w:val="auto"/>
          <w:kern w:val="0"/>
          <w:sz w:val="24"/>
          <w:lang w:val="en-US" w:eastAsia="zh-CN"/>
        </w:rPr>
        <w:t>买方在10个工作日内全额支付货款；</w:t>
      </w:r>
      <w:r>
        <w:rPr>
          <w:rFonts w:hint="eastAsia" w:cs="Times New Roman"/>
          <w:b/>
          <w:bCs/>
          <w:color w:val="auto"/>
          <w:kern w:val="0"/>
          <w:sz w:val="24"/>
          <w:lang w:val="en-US" w:eastAsia="zh-CN"/>
        </w:rPr>
        <w:t>2.</w:t>
      </w:r>
      <w:r>
        <w:rPr>
          <w:rFonts w:hint="eastAsia" w:cs="Times New Roman"/>
          <w:color w:val="auto"/>
          <w:kern w:val="0"/>
          <w:sz w:val="24"/>
          <w:lang w:val="en-US" w:eastAsia="zh-CN"/>
        </w:rPr>
        <w:t>如卖方存在违约行为，</w:t>
      </w:r>
      <w:r>
        <w:rPr>
          <w:rFonts w:hint="eastAsia" w:cs="Times New Roman"/>
          <w:color w:val="auto"/>
          <w:kern w:val="0"/>
          <w:sz w:val="24"/>
          <w:lang w:eastAsia="zh-CN"/>
        </w:rPr>
        <w:t>买方有权从应付货款中扣除卖方应承担的违约金、赔偿款及其他应由卖方承担的费用</w:t>
      </w:r>
      <w:r>
        <w:rPr>
          <w:rFonts w:hint="eastAsia" w:cs="Times New Roman"/>
          <w:color w:val="auto"/>
          <w:kern w:val="0"/>
          <w:sz w:val="24"/>
          <w:lang w:val="en-US" w:eastAsia="zh-CN"/>
        </w:rPr>
        <w:t>后</w:t>
      </w:r>
      <w:r>
        <w:rPr>
          <w:rFonts w:hint="eastAsia" w:cs="Times New Roman"/>
          <w:color w:val="auto"/>
          <w:kern w:val="0"/>
          <w:sz w:val="24"/>
          <w:lang w:eastAsia="zh-CN"/>
        </w:rPr>
        <w:t>，</w:t>
      </w:r>
      <w:r>
        <w:rPr>
          <w:rFonts w:hint="eastAsia" w:cs="Times New Roman"/>
          <w:color w:val="auto"/>
          <w:kern w:val="0"/>
          <w:sz w:val="24"/>
          <w:lang w:val="en-US" w:eastAsia="zh-CN"/>
        </w:rPr>
        <w:t>在10</w:t>
      </w:r>
      <w:r>
        <w:rPr>
          <w:rFonts w:hint="default" w:ascii="Times New Roman" w:hAnsi="Times New Roman" w:eastAsia="宋体" w:cs="Times New Roman"/>
          <w:color w:val="auto"/>
          <w:kern w:val="0"/>
          <w:sz w:val="24"/>
          <w:lang w:val="en-US" w:eastAsia="zh-CN"/>
        </w:rPr>
        <w:t>个工作日内</w:t>
      </w:r>
      <w:r>
        <w:rPr>
          <w:rFonts w:hint="eastAsia" w:cs="Times New Roman"/>
          <w:color w:val="auto"/>
          <w:kern w:val="0"/>
          <w:sz w:val="24"/>
          <w:lang w:val="en-US" w:eastAsia="zh-CN"/>
        </w:rPr>
        <w:t>支</w:t>
      </w:r>
      <w:r>
        <w:rPr>
          <w:rFonts w:hint="default" w:ascii="Times New Roman" w:hAnsi="Times New Roman" w:eastAsia="宋体" w:cs="Times New Roman"/>
          <w:color w:val="auto"/>
          <w:kern w:val="0"/>
          <w:sz w:val="24"/>
        </w:rPr>
        <w:t>付</w:t>
      </w:r>
      <w:r>
        <w:rPr>
          <w:rFonts w:hint="eastAsia" w:cs="Times New Roman"/>
          <w:color w:val="auto"/>
          <w:kern w:val="0"/>
          <w:sz w:val="24"/>
          <w:lang w:val="en-US" w:eastAsia="zh-CN"/>
        </w:rPr>
        <w:t>剩余</w:t>
      </w:r>
      <w:r>
        <w:rPr>
          <w:rFonts w:hint="eastAsia" w:cs="Times New Roman"/>
          <w:color w:val="auto"/>
          <w:kern w:val="0"/>
          <w:sz w:val="24"/>
          <w:lang w:eastAsia="zh-CN"/>
        </w:rPr>
        <w:t>货款</w:t>
      </w:r>
      <w:r>
        <w:rPr>
          <w:rFonts w:hint="default" w:ascii="Times New Roman" w:hAnsi="Times New Roman" w:eastAsia="宋体" w:cs="Times New Roman"/>
          <w:color w:val="auto"/>
          <w:kern w:val="0"/>
          <w:sz w:val="24"/>
        </w:rPr>
        <w:t>。</w:t>
      </w:r>
    </w:p>
    <w:p w14:paraId="5BFD87D3">
      <w:pPr>
        <w:pStyle w:val="5"/>
        <w:keepNext w:val="0"/>
        <w:keepLines w:val="0"/>
        <w:pageBreakBefore w:val="0"/>
        <w:widowControl w:val="0"/>
        <w:kinsoku/>
        <w:wordWrap/>
        <w:overflowPunct/>
        <w:topLinePunct w:val="0"/>
        <w:bidi w:val="0"/>
        <w:snapToGrid/>
        <w:spacing w:line="340" w:lineRule="exact"/>
        <w:textAlignment w:val="auto"/>
        <w:rPr>
          <w:rFonts w:hint="default" w:ascii="Times New Roman" w:hAnsi="Times New Roman" w:eastAsia="宋体" w:cs="Times New Roman"/>
          <w:lang w:eastAsia="zh-CN"/>
        </w:rPr>
      </w:pPr>
      <w:r>
        <w:rPr>
          <w:rFonts w:hint="eastAsia" w:ascii="Times New Roman" w:eastAsia="宋体" w:cs="Times New Roman"/>
          <w:b/>
          <w:bCs/>
          <w:lang w:val="en-US" w:eastAsia="zh-CN"/>
        </w:rPr>
        <w:t>七</w:t>
      </w:r>
      <w:r>
        <w:rPr>
          <w:rFonts w:hint="default" w:ascii="Times New Roman" w:hAnsi="Times New Roman" w:eastAsia="宋体" w:cs="Times New Roman"/>
          <w:b/>
          <w:bCs/>
        </w:rPr>
        <w:t>、结算凭证：</w:t>
      </w:r>
      <w:r>
        <w:rPr>
          <w:rFonts w:hint="default" w:ascii="Times New Roman" w:hAnsi="Times New Roman" w:eastAsia="宋体" w:cs="Times New Roman"/>
        </w:rPr>
        <w:t>卖方提供本单位开出的有效货物销售增值税发票或粮食销售统一发票。</w:t>
      </w:r>
    </w:p>
    <w:p w14:paraId="56EA7A9D">
      <w:pPr>
        <w:pStyle w:val="3"/>
        <w:keepNext w:val="0"/>
        <w:keepLines w:val="0"/>
        <w:pageBreakBefore w:val="0"/>
        <w:widowControl w:val="0"/>
        <w:kinsoku/>
        <w:wordWrap/>
        <w:overflowPunct/>
        <w:topLinePunct w:val="0"/>
        <w:bidi w:val="0"/>
        <w:snapToGrid/>
        <w:spacing w:line="340" w:lineRule="exact"/>
        <w:ind w:firstLine="0" w:firstLineChars="0"/>
        <w:textAlignment w:val="auto"/>
        <w:rPr>
          <w:rFonts w:hint="default" w:ascii="Times New Roman" w:hAnsi="Times New Roman" w:eastAsia="宋体" w:cs="Times New Roman"/>
          <w:sz w:val="24"/>
        </w:rPr>
      </w:pPr>
      <w:r>
        <w:rPr>
          <w:rFonts w:hint="default" w:ascii="Times New Roman" w:hAnsi="Times New Roman" w:eastAsia="宋体" w:cs="Times New Roman"/>
          <w:sz w:val="24"/>
        </w:rPr>
        <w:t xml:space="preserve">   </w:t>
      </w:r>
      <w:r>
        <w:rPr>
          <w:rFonts w:hint="default" w:ascii="Times New Roman" w:hAnsi="Times New Roman" w:eastAsia="宋体" w:cs="Times New Roman"/>
          <w:sz w:val="24"/>
          <w:lang w:val="en-US" w:eastAsia="zh-CN"/>
        </w:rPr>
        <w:t xml:space="preserve"> </w:t>
      </w:r>
      <w:r>
        <w:rPr>
          <w:rFonts w:hint="eastAsia" w:ascii="Times New Roman" w:eastAsia="宋体" w:cs="Times New Roman"/>
          <w:sz w:val="24"/>
          <w:lang w:val="en-US" w:eastAsia="zh-CN"/>
        </w:rPr>
        <w:t>八</w:t>
      </w:r>
      <w:r>
        <w:rPr>
          <w:rFonts w:hint="default" w:ascii="Times New Roman" w:hAnsi="Times New Roman" w:eastAsia="宋体" w:cs="Times New Roman"/>
          <w:b/>
          <w:bCs/>
          <w:sz w:val="24"/>
        </w:rPr>
        <w:t>、违约责任：</w:t>
      </w:r>
      <w:r>
        <w:rPr>
          <w:rFonts w:hint="default" w:ascii="Times New Roman" w:hAnsi="Times New Roman" w:eastAsia="宋体" w:cs="Times New Roman"/>
          <w:sz w:val="24"/>
        </w:rPr>
        <w:t>任何一方违约</w:t>
      </w:r>
      <w:r>
        <w:rPr>
          <w:rFonts w:hint="eastAsia" w:ascii="Times New Roman" w:eastAsia="宋体" w:cs="Times New Roman"/>
          <w:sz w:val="24"/>
          <w:lang w:eastAsia="zh-CN"/>
        </w:rPr>
        <w:t>的</w:t>
      </w:r>
      <w:r>
        <w:rPr>
          <w:rFonts w:hint="default" w:ascii="Times New Roman" w:hAnsi="Times New Roman" w:eastAsia="宋体" w:cs="Times New Roman"/>
          <w:sz w:val="24"/>
        </w:rPr>
        <w:t>，违约</w:t>
      </w:r>
      <w:r>
        <w:rPr>
          <w:rFonts w:hint="eastAsia" w:ascii="Times New Roman" w:eastAsia="宋体" w:cs="Times New Roman"/>
          <w:sz w:val="24"/>
          <w:lang w:eastAsia="zh-CN"/>
        </w:rPr>
        <w:t>方应向守约方支付违约金，违约金金额为违约</w:t>
      </w:r>
      <w:r>
        <w:rPr>
          <w:rFonts w:hint="default" w:ascii="Times New Roman" w:hAnsi="Times New Roman" w:eastAsia="宋体" w:cs="Times New Roman"/>
          <w:sz w:val="24"/>
        </w:rPr>
        <w:t>部分</w:t>
      </w:r>
      <w:r>
        <w:rPr>
          <w:rFonts w:hint="eastAsia" w:ascii="Times New Roman" w:eastAsia="宋体" w:cs="Times New Roman"/>
          <w:sz w:val="24"/>
          <w:lang w:eastAsia="zh-CN"/>
        </w:rPr>
        <w:t>货款的10%。守约方有权从违约方履约</w:t>
      </w:r>
      <w:r>
        <w:rPr>
          <w:rFonts w:hint="default" w:ascii="Times New Roman" w:hAnsi="Times New Roman" w:eastAsia="宋体" w:cs="Times New Roman"/>
          <w:sz w:val="24"/>
        </w:rPr>
        <w:t>保证金</w:t>
      </w:r>
      <w:r>
        <w:rPr>
          <w:rFonts w:hint="eastAsia" w:ascii="Times New Roman" w:eastAsia="宋体" w:cs="Times New Roman"/>
          <w:sz w:val="24"/>
          <w:lang w:eastAsia="zh-CN"/>
        </w:rPr>
        <w:t>中直接扣除相应违约金；违约</w:t>
      </w:r>
      <w:r>
        <w:rPr>
          <w:rFonts w:hint="default" w:ascii="Times New Roman" w:hAnsi="Times New Roman" w:eastAsia="宋体" w:cs="Times New Roman"/>
          <w:sz w:val="24"/>
        </w:rPr>
        <w:t>方</w:t>
      </w:r>
      <w:r>
        <w:rPr>
          <w:rFonts w:hint="eastAsia" w:ascii="Times New Roman" w:eastAsia="宋体" w:cs="Times New Roman"/>
          <w:sz w:val="24"/>
          <w:lang w:eastAsia="zh-CN"/>
        </w:rPr>
        <w:t>还应</w:t>
      </w:r>
      <w:r>
        <w:rPr>
          <w:rFonts w:hint="default" w:ascii="Times New Roman" w:hAnsi="Times New Roman" w:eastAsia="宋体" w:cs="Times New Roman"/>
          <w:sz w:val="24"/>
        </w:rPr>
        <w:t>承担</w:t>
      </w:r>
      <w:r>
        <w:rPr>
          <w:rFonts w:hint="eastAsia" w:ascii="Times New Roman" w:eastAsia="宋体" w:cs="Times New Roman"/>
          <w:sz w:val="24"/>
          <w:lang w:eastAsia="zh-CN"/>
        </w:rPr>
        <w:t>守约</w:t>
      </w:r>
      <w:r>
        <w:rPr>
          <w:rFonts w:hint="default" w:ascii="Times New Roman" w:hAnsi="Times New Roman" w:eastAsia="宋体" w:cs="Times New Roman"/>
          <w:sz w:val="24"/>
        </w:rPr>
        <w:t>方</w:t>
      </w:r>
      <w:r>
        <w:rPr>
          <w:rFonts w:hint="eastAsia" w:ascii="Times New Roman" w:eastAsia="宋体" w:cs="Times New Roman"/>
          <w:sz w:val="24"/>
          <w:lang w:eastAsia="zh-CN"/>
        </w:rPr>
        <w:t>因该</w:t>
      </w:r>
      <w:r>
        <w:rPr>
          <w:rFonts w:hint="default" w:ascii="Times New Roman" w:hAnsi="Times New Roman" w:eastAsia="宋体" w:cs="Times New Roman"/>
          <w:sz w:val="24"/>
        </w:rPr>
        <w:t>违约</w:t>
      </w:r>
      <w:r>
        <w:rPr>
          <w:rFonts w:hint="eastAsia" w:ascii="Times New Roman" w:eastAsia="宋体" w:cs="Times New Roman"/>
          <w:sz w:val="24"/>
          <w:lang w:eastAsia="zh-CN"/>
        </w:rPr>
        <w:t>产生的交易手续费及其他实际损失。若实际损失超过违约金及履约保证金金额，违约方仍应赔偿超出</w:t>
      </w:r>
      <w:r>
        <w:rPr>
          <w:rFonts w:hint="default" w:ascii="Times New Roman" w:hAnsi="Times New Roman" w:eastAsia="宋体" w:cs="Times New Roman"/>
          <w:sz w:val="24"/>
        </w:rPr>
        <w:t>部分</w:t>
      </w:r>
      <w:r>
        <w:rPr>
          <w:rFonts w:hint="eastAsia" w:ascii="Times New Roman" w:eastAsia="宋体" w:cs="Times New Roman"/>
          <w:sz w:val="24"/>
          <w:lang w:eastAsia="zh-CN"/>
        </w:rPr>
        <w:t>。卖方违约的，买方因此产生的另行采购差价损失、仓储费、检测费、处置费、</w:t>
      </w:r>
      <w:r>
        <w:rPr>
          <w:rFonts w:hint="default" w:ascii="Times New Roman" w:hAnsi="Times New Roman" w:eastAsia="宋体" w:cs="Times New Roman"/>
          <w:sz w:val="24"/>
        </w:rPr>
        <w:t>交易手续费</w:t>
      </w:r>
      <w:r>
        <w:rPr>
          <w:rFonts w:hint="eastAsia" w:ascii="Times New Roman" w:eastAsia="宋体" w:cs="Times New Roman"/>
          <w:sz w:val="24"/>
          <w:lang w:eastAsia="zh-CN"/>
        </w:rPr>
        <w:t>等损失</w:t>
      </w:r>
      <w:r>
        <w:rPr>
          <w:rFonts w:hint="default" w:ascii="Times New Roman" w:hAnsi="Times New Roman" w:eastAsia="宋体" w:cs="Times New Roman"/>
          <w:sz w:val="24"/>
        </w:rPr>
        <w:t>，</w:t>
      </w:r>
      <w:r>
        <w:rPr>
          <w:rFonts w:hint="eastAsia" w:ascii="Times New Roman" w:eastAsia="宋体" w:cs="Times New Roman"/>
          <w:sz w:val="24"/>
          <w:lang w:eastAsia="zh-CN"/>
        </w:rPr>
        <w:t>均由卖方承担。</w:t>
      </w:r>
    </w:p>
    <w:p w14:paraId="4138CD22">
      <w:pPr>
        <w:keepNext w:val="0"/>
        <w:keepLines w:val="0"/>
        <w:pageBreakBefore w:val="0"/>
        <w:widowControl w:val="0"/>
        <w:kinsoku/>
        <w:wordWrap/>
        <w:overflowPunct/>
        <w:topLinePunct w:val="0"/>
        <w:autoSpaceDE w:val="0"/>
        <w:autoSpaceDN w:val="0"/>
        <w:bidi w:val="0"/>
        <w:adjustRightInd w:val="0"/>
        <w:snapToGrid/>
        <w:spacing w:line="340" w:lineRule="exact"/>
        <w:ind w:firstLine="482" w:firstLineChars="200"/>
        <w:textAlignment w:val="auto"/>
        <w:rPr>
          <w:rFonts w:hint="default" w:ascii="Times New Roman" w:hAnsi="Times New Roman" w:eastAsia="宋体" w:cs="Times New Roman"/>
          <w:b/>
          <w:bCs/>
          <w:kern w:val="0"/>
          <w:sz w:val="24"/>
          <w:lang w:eastAsia="zh-CN"/>
        </w:rPr>
      </w:pPr>
      <w:r>
        <w:rPr>
          <w:rFonts w:hint="eastAsia" w:cs="Times New Roman"/>
          <w:b/>
          <w:bCs/>
          <w:kern w:val="0"/>
          <w:sz w:val="24"/>
          <w:lang w:val="en-US" w:eastAsia="zh-CN"/>
        </w:rPr>
        <w:t>九</w:t>
      </w:r>
      <w:r>
        <w:rPr>
          <w:rFonts w:hint="default" w:ascii="Times New Roman" w:hAnsi="Times New Roman" w:eastAsia="宋体" w:cs="Times New Roman"/>
          <w:b/>
          <w:bCs/>
          <w:kern w:val="0"/>
          <w:sz w:val="24"/>
        </w:rPr>
        <w:t>、争议解决</w:t>
      </w:r>
      <w:r>
        <w:rPr>
          <w:rFonts w:hint="default" w:ascii="Times New Roman" w:hAnsi="Times New Roman" w:eastAsia="宋体" w:cs="Times New Roman"/>
          <w:b/>
          <w:bCs/>
          <w:kern w:val="0"/>
          <w:sz w:val="24"/>
          <w:lang w:eastAsia="zh-CN"/>
        </w:rPr>
        <w:t>：</w:t>
      </w:r>
    </w:p>
    <w:p w14:paraId="7B9BBFD7">
      <w:pPr>
        <w:keepNext w:val="0"/>
        <w:keepLines w:val="0"/>
        <w:pageBreakBefore w:val="0"/>
        <w:widowControl w:val="0"/>
        <w:kinsoku/>
        <w:wordWrap/>
        <w:overflowPunct/>
        <w:topLinePunct w:val="0"/>
        <w:autoSpaceDE w:val="0"/>
        <w:autoSpaceDN w:val="0"/>
        <w:bidi w:val="0"/>
        <w:adjustRightInd w:val="0"/>
        <w:snapToGrid/>
        <w:spacing w:line="34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1、</w:t>
      </w:r>
      <w:r>
        <w:rPr>
          <w:rFonts w:hint="eastAsia" w:cs="Times New Roman"/>
          <w:kern w:val="0"/>
          <w:sz w:val="24"/>
          <w:lang w:val="en-US" w:eastAsia="zh-CN"/>
        </w:rPr>
        <w:t>因本合同履行产生的责任</w:t>
      </w:r>
      <w:r>
        <w:rPr>
          <w:rFonts w:hint="default" w:ascii="Times New Roman" w:hAnsi="Times New Roman" w:eastAsia="宋体" w:cs="Times New Roman"/>
          <w:kern w:val="0"/>
          <w:sz w:val="24"/>
        </w:rPr>
        <w:t>不明确</w:t>
      </w:r>
      <w:r>
        <w:rPr>
          <w:rFonts w:hint="eastAsia" w:cs="Times New Roman"/>
          <w:kern w:val="0"/>
          <w:sz w:val="24"/>
          <w:lang w:val="en-US" w:eastAsia="zh-CN"/>
        </w:rPr>
        <w:t>争议</w:t>
      </w:r>
      <w:r>
        <w:rPr>
          <w:rFonts w:hint="default" w:ascii="Times New Roman" w:hAnsi="Times New Roman" w:eastAsia="宋体" w:cs="Times New Roman"/>
          <w:kern w:val="0"/>
          <w:sz w:val="24"/>
        </w:rPr>
        <w:t>，由</w:t>
      </w:r>
      <w:r>
        <w:rPr>
          <w:rFonts w:hint="eastAsia" w:cs="Times New Roman"/>
          <w:kern w:val="0"/>
          <w:sz w:val="24"/>
          <w:lang w:val="en-US" w:eastAsia="zh-CN"/>
        </w:rPr>
        <w:t>交易中心</w:t>
      </w:r>
      <w:r>
        <w:rPr>
          <w:rFonts w:hint="default" w:ascii="Times New Roman" w:hAnsi="Times New Roman" w:eastAsia="宋体" w:cs="Times New Roman"/>
          <w:kern w:val="0"/>
          <w:sz w:val="24"/>
        </w:rPr>
        <w:t>协</w:t>
      </w:r>
      <w:r>
        <w:rPr>
          <w:rFonts w:hint="eastAsia" w:cs="Times New Roman"/>
          <w:kern w:val="0"/>
          <w:sz w:val="24"/>
          <w:lang w:val="en-US" w:eastAsia="zh-CN"/>
        </w:rPr>
        <w:t>调解决；协商不成的，任何一方均可向甲方所在地有管辖权的人民法院提起诉讼。届时，败诉方将承担由此纠纷产生的诉讼费、律师费、保全费、执行费等。法院认定双方各有过错的，双方各自按法院确定的己方诉讼费承担比例承担前述费用。</w:t>
      </w:r>
    </w:p>
    <w:p w14:paraId="33582A13">
      <w:pPr>
        <w:keepNext w:val="0"/>
        <w:keepLines w:val="0"/>
        <w:pageBreakBefore w:val="0"/>
        <w:widowControl w:val="0"/>
        <w:kinsoku/>
        <w:wordWrap/>
        <w:overflowPunct/>
        <w:topLinePunct w:val="0"/>
        <w:autoSpaceDE w:val="0"/>
        <w:autoSpaceDN w:val="0"/>
        <w:bidi w:val="0"/>
        <w:adjustRightInd w:val="0"/>
        <w:snapToGrid/>
        <w:spacing w:line="34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2、卖方逾期交货（含因质量不合格被买方拒收造成的逾期交货），逾期供货</w:t>
      </w:r>
      <w:r>
        <w:rPr>
          <w:rFonts w:hint="eastAsia" w:cs="Times New Roman"/>
          <w:kern w:val="0"/>
          <w:sz w:val="24"/>
          <w:lang w:val="en-US" w:eastAsia="zh-CN"/>
        </w:rPr>
        <w:t>5</w:t>
      </w:r>
      <w:r>
        <w:rPr>
          <w:rFonts w:hint="default" w:ascii="Times New Roman" w:hAnsi="Times New Roman" w:eastAsia="宋体" w:cs="Times New Roman"/>
          <w:kern w:val="0"/>
          <w:sz w:val="24"/>
        </w:rPr>
        <w:t>天内，每逾期一天，按逾期交货总金额的</w:t>
      </w:r>
      <w:r>
        <w:rPr>
          <w:rFonts w:hint="eastAsia" w:cs="Times New Roman"/>
          <w:kern w:val="0"/>
          <w:sz w:val="24"/>
          <w:lang w:val="en-US" w:eastAsia="zh-CN"/>
        </w:rPr>
        <w:t>万分之五</w:t>
      </w:r>
      <w:r>
        <w:rPr>
          <w:rFonts w:hint="default" w:ascii="Times New Roman" w:hAnsi="Times New Roman" w:eastAsia="宋体" w:cs="Times New Roman"/>
          <w:kern w:val="0"/>
          <w:sz w:val="24"/>
        </w:rPr>
        <w:t>向买方支付滞纳金</w:t>
      </w:r>
      <w:r>
        <w:rPr>
          <w:rFonts w:hint="eastAsia" w:cs="Times New Roman"/>
          <w:kern w:val="0"/>
          <w:sz w:val="24"/>
          <w:lang w:eastAsia="zh-CN"/>
        </w:rPr>
        <w:t>。逾期供货</w:t>
      </w:r>
      <w:r>
        <w:rPr>
          <w:rFonts w:hint="default" w:ascii="Times New Roman" w:hAnsi="Times New Roman" w:eastAsia="宋体" w:cs="Times New Roman"/>
          <w:sz w:val="24"/>
        </w:rPr>
        <w:t>超过</w:t>
      </w:r>
      <w:r>
        <w:rPr>
          <w:rFonts w:hint="eastAsia" w:cs="Times New Roman"/>
          <w:sz w:val="24"/>
          <w:lang w:val="en-US" w:eastAsia="zh-CN"/>
        </w:rPr>
        <w:t>5</w:t>
      </w:r>
      <w:r>
        <w:rPr>
          <w:rFonts w:hint="default" w:ascii="Times New Roman" w:hAnsi="Times New Roman" w:eastAsia="宋体" w:cs="Times New Roman"/>
          <w:sz w:val="24"/>
        </w:rPr>
        <w:t>天的，</w:t>
      </w:r>
      <w:r>
        <w:rPr>
          <w:rFonts w:hint="eastAsia" w:cs="Times New Roman"/>
          <w:sz w:val="24"/>
          <w:lang w:eastAsia="zh-CN"/>
        </w:rPr>
        <w:t>买方有权</w:t>
      </w:r>
      <w:r>
        <w:rPr>
          <w:rFonts w:hint="default" w:ascii="Times New Roman" w:hAnsi="Times New Roman" w:eastAsia="宋体" w:cs="Times New Roman"/>
          <w:sz w:val="24"/>
        </w:rPr>
        <w:t>通知卖方停止供货</w:t>
      </w:r>
      <w:r>
        <w:rPr>
          <w:rFonts w:hint="eastAsia" w:cs="Times New Roman"/>
          <w:sz w:val="24"/>
          <w:lang w:eastAsia="zh-CN"/>
        </w:rPr>
        <w:t>、单方解除本合同</w:t>
      </w:r>
      <w:r>
        <w:rPr>
          <w:rFonts w:hint="default" w:ascii="Times New Roman" w:hAnsi="Times New Roman" w:eastAsia="宋体" w:cs="Times New Roman"/>
          <w:sz w:val="24"/>
        </w:rPr>
        <w:t>，</w:t>
      </w:r>
      <w:r>
        <w:rPr>
          <w:rFonts w:hint="eastAsia" w:cs="Times New Roman"/>
          <w:sz w:val="24"/>
          <w:lang w:eastAsia="zh-CN"/>
        </w:rPr>
        <w:t>已收取的履约保证金不予退还，</w:t>
      </w:r>
      <w:r>
        <w:rPr>
          <w:rFonts w:hint="default" w:ascii="Times New Roman" w:hAnsi="Times New Roman" w:eastAsia="宋体" w:cs="Times New Roman"/>
          <w:sz w:val="24"/>
        </w:rPr>
        <w:t>并</w:t>
      </w:r>
      <w:r>
        <w:rPr>
          <w:rFonts w:hint="eastAsia" w:cs="Times New Roman"/>
          <w:sz w:val="24"/>
          <w:lang w:eastAsia="zh-CN"/>
        </w:rPr>
        <w:t>要求卖方支付合同总金额10%的违约金；同时，卖方还应</w:t>
      </w:r>
      <w:r>
        <w:rPr>
          <w:rFonts w:hint="default" w:ascii="Times New Roman" w:hAnsi="Times New Roman" w:eastAsia="宋体" w:cs="Times New Roman"/>
          <w:sz w:val="24"/>
        </w:rPr>
        <w:t>按</w:t>
      </w:r>
      <w:r>
        <w:rPr>
          <w:rFonts w:hint="eastAsia" w:cs="Times New Roman"/>
          <w:sz w:val="24"/>
          <w:lang w:eastAsia="zh-CN"/>
        </w:rPr>
        <w:t>逾期交货部分货款的每日</w:t>
      </w:r>
      <w:r>
        <w:rPr>
          <w:rFonts w:hint="eastAsia" w:cs="Times New Roman"/>
          <w:kern w:val="0"/>
          <w:sz w:val="24"/>
          <w:lang w:val="en-US" w:eastAsia="zh-CN"/>
        </w:rPr>
        <w:t>万分之五</w:t>
      </w:r>
      <w:r>
        <w:rPr>
          <w:rFonts w:hint="eastAsia" w:cs="Times New Roman"/>
          <w:sz w:val="24"/>
          <w:lang w:eastAsia="zh-CN"/>
        </w:rPr>
        <w:t>向买方支付</w:t>
      </w:r>
      <w:r>
        <w:rPr>
          <w:rFonts w:hint="default" w:ascii="Times New Roman" w:hAnsi="Times New Roman" w:eastAsia="宋体" w:cs="Times New Roman"/>
          <w:sz w:val="24"/>
        </w:rPr>
        <w:t>逾期</w:t>
      </w:r>
      <w:r>
        <w:rPr>
          <w:rFonts w:hint="eastAsia" w:cs="Times New Roman"/>
          <w:sz w:val="24"/>
          <w:lang w:eastAsia="zh-CN"/>
        </w:rPr>
        <w:t>违约金，该逾期违约金与前述滞纳金合并计算，且总额不设上限</w:t>
      </w:r>
      <w:r>
        <w:rPr>
          <w:rFonts w:hint="default" w:ascii="Times New Roman" w:hAnsi="Times New Roman" w:eastAsia="宋体" w:cs="Times New Roman"/>
          <w:kern w:val="0"/>
          <w:sz w:val="24"/>
        </w:rPr>
        <w:t>。</w:t>
      </w:r>
      <w:r>
        <w:rPr>
          <w:rFonts w:hint="eastAsia" w:cs="Times New Roman"/>
          <w:kern w:val="0"/>
          <w:sz w:val="24"/>
          <w:lang w:eastAsia="zh-CN"/>
        </w:rPr>
        <w:t>因卖方逾期交货给买方造成损失的，卖方还应承担全部赔偿责任。</w:t>
      </w:r>
      <w:r>
        <w:rPr>
          <w:rFonts w:hint="default" w:ascii="Times New Roman" w:hAnsi="Times New Roman" w:eastAsia="宋体" w:cs="Times New Roman"/>
          <w:kern w:val="0"/>
          <w:sz w:val="24"/>
        </w:rPr>
        <w:t>由于不可抗力原因导致卖方逾期交货，卖方应在一周内向买方</w:t>
      </w:r>
      <w:r>
        <w:rPr>
          <w:rFonts w:hint="eastAsia" w:cs="Times New Roman"/>
          <w:kern w:val="0"/>
          <w:sz w:val="24"/>
          <w:lang w:val="en-US" w:eastAsia="zh-CN"/>
        </w:rPr>
        <w:t>及交易中心</w:t>
      </w:r>
      <w:r>
        <w:rPr>
          <w:rFonts w:hint="default" w:ascii="Times New Roman" w:hAnsi="Times New Roman" w:eastAsia="宋体" w:cs="Times New Roman"/>
          <w:kern w:val="0"/>
          <w:sz w:val="24"/>
        </w:rPr>
        <w:t>提交书面报告，说明货物受阻、受影响数量等情况</w:t>
      </w:r>
      <w:r>
        <w:rPr>
          <w:rFonts w:hint="eastAsia" w:cs="Times New Roman"/>
          <w:kern w:val="0"/>
          <w:sz w:val="24"/>
          <w:lang w:eastAsia="zh-CN"/>
        </w:rPr>
        <w:t>；但合同履行期限是否顺延及顺延期限应经</w:t>
      </w:r>
      <w:r>
        <w:rPr>
          <w:rFonts w:hint="default" w:ascii="Times New Roman" w:hAnsi="Times New Roman" w:eastAsia="宋体" w:cs="Times New Roman"/>
          <w:kern w:val="0"/>
          <w:sz w:val="24"/>
        </w:rPr>
        <w:t>买方</w:t>
      </w:r>
      <w:r>
        <w:rPr>
          <w:rFonts w:hint="eastAsia" w:cs="Times New Roman"/>
          <w:kern w:val="0"/>
          <w:sz w:val="24"/>
          <w:lang w:eastAsia="zh-CN"/>
        </w:rPr>
        <w:t>书面确认</w:t>
      </w:r>
      <w:r>
        <w:rPr>
          <w:rFonts w:hint="default" w:ascii="Times New Roman" w:hAnsi="Times New Roman" w:eastAsia="宋体" w:cs="Times New Roman"/>
          <w:kern w:val="0"/>
          <w:sz w:val="24"/>
        </w:rPr>
        <w:t>，</w:t>
      </w:r>
      <w:r>
        <w:rPr>
          <w:rFonts w:hint="default" w:ascii="Times New Roman" w:hAnsi="Times New Roman" w:eastAsia="宋体" w:cs="Times New Roman"/>
          <w:kern w:val="0"/>
          <w:sz w:val="24"/>
          <w:lang w:eastAsia="zh-CN"/>
        </w:rPr>
        <w:t>买卖双方</w:t>
      </w:r>
      <w:r>
        <w:rPr>
          <w:rFonts w:hint="eastAsia" w:cs="Times New Roman"/>
          <w:kern w:val="0"/>
          <w:sz w:val="24"/>
          <w:lang w:eastAsia="zh-CN"/>
        </w:rPr>
        <w:t>据此</w:t>
      </w:r>
      <w:r>
        <w:rPr>
          <w:rFonts w:hint="default" w:ascii="Times New Roman" w:hAnsi="Times New Roman" w:eastAsia="宋体" w:cs="Times New Roman"/>
          <w:kern w:val="0"/>
          <w:sz w:val="24"/>
          <w:lang w:eastAsia="zh-CN"/>
        </w:rPr>
        <w:t>签订补充协议</w:t>
      </w:r>
      <w:r>
        <w:rPr>
          <w:rFonts w:hint="default" w:ascii="Times New Roman" w:hAnsi="Times New Roman" w:eastAsia="宋体" w:cs="Times New Roman"/>
          <w:kern w:val="0"/>
          <w:sz w:val="24"/>
        </w:rPr>
        <w:t>。</w:t>
      </w:r>
    </w:p>
    <w:p w14:paraId="7A428425">
      <w:pPr>
        <w:keepNext w:val="0"/>
        <w:keepLines w:val="0"/>
        <w:pageBreakBefore w:val="0"/>
        <w:widowControl w:val="0"/>
        <w:kinsoku/>
        <w:wordWrap/>
        <w:overflowPunct/>
        <w:topLinePunct w:val="0"/>
        <w:autoSpaceDE w:val="0"/>
        <w:autoSpaceDN w:val="0"/>
        <w:bidi w:val="0"/>
        <w:adjustRightInd w:val="0"/>
        <w:snapToGrid/>
        <w:spacing w:line="340" w:lineRule="exact"/>
        <w:ind w:firstLine="482" w:firstLineChars="200"/>
        <w:textAlignment w:val="auto"/>
        <w:rPr>
          <w:rFonts w:hint="default" w:ascii="Times New Roman" w:hAnsi="Times New Roman" w:eastAsia="宋体" w:cs="Times New Roman"/>
          <w:kern w:val="0"/>
          <w:sz w:val="24"/>
          <w:lang w:eastAsia="zh-CN"/>
        </w:rPr>
      </w:pPr>
      <w:r>
        <w:rPr>
          <w:rFonts w:hint="eastAsia" w:cs="Times New Roman"/>
          <w:b/>
          <w:kern w:val="0"/>
          <w:sz w:val="24"/>
          <w:lang w:val="en-US" w:eastAsia="zh-CN"/>
        </w:rPr>
        <w:t>3</w:t>
      </w:r>
      <w:r>
        <w:rPr>
          <w:rFonts w:hint="default" w:ascii="Times New Roman" w:hAnsi="Times New Roman" w:eastAsia="宋体" w:cs="Times New Roman"/>
          <w:b/>
          <w:kern w:val="0"/>
          <w:sz w:val="24"/>
        </w:rPr>
        <w:t>、</w:t>
      </w:r>
      <w:r>
        <w:rPr>
          <w:rFonts w:hint="default" w:ascii="Times New Roman" w:hAnsi="Times New Roman" w:eastAsia="宋体" w:cs="Times New Roman"/>
          <w:kern w:val="0"/>
          <w:sz w:val="24"/>
          <w:lang w:eastAsia="zh-CN"/>
        </w:rPr>
        <w:t>买卖双方如就质量问题发生争议，双方共同</w:t>
      </w:r>
      <w:r>
        <w:rPr>
          <w:rFonts w:hint="default" w:ascii="Times New Roman" w:hAnsi="Times New Roman" w:cs="Times New Roman"/>
          <w:kern w:val="0"/>
          <w:sz w:val="24"/>
          <w:lang w:eastAsia="zh-CN"/>
        </w:rPr>
        <w:t>扦</w:t>
      </w:r>
      <w:r>
        <w:rPr>
          <w:rFonts w:hint="default" w:ascii="Times New Roman" w:hAnsi="Times New Roman" w:eastAsia="宋体" w:cs="Times New Roman"/>
          <w:kern w:val="0"/>
          <w:sz w:val="24"/>
          <w:lang w:eastAsia="zh-CN"/>
        </w:rPr>
        <w:t>样并委托粮食产品质量监督检验机构检验鉴定，费用由责任方负担。</w:t>
      </w:r>
    </w:p>
    <w:p w14:paraId="7478FD19">
      <w:pPr>
        <w:keepNext w:val="0"/>
        <w:keepLines w:val="0"/>
        <w:pageBreakBefore w:val="0"/>
        <w:widowControl w:val="0"/>
        <w:kinsoku/>
        <w:wordWrap/>
        <w:overflowPunct/>
        <w:topLinePunct w:val="0"/>
        <w:autoSpaceDE w:val="0"/>
        <w:autoSpaceDN w:val="0"/>
        <w:bidi w:val="0"/>
        <w:adjustRightInd w:val="0"/>
        <w:snapToGrid/>
        <w:spacing w:line="340" w:lineRule="exact"/>
        <w:ind w:firstLine="480" w:firstLineChars="200"/>
        <w:textAlignment w:val="auto"/>
        <w:rPr>
          <w:rFonts w:hint="default"/>
          <w:lang w:val="en-US" w:eastAsia="zh-CN"/>
        </w:rPr>
      </w:pPr>
      <w:r>
        <w:rPr>
          <w:rFonts w:hint="eastAsia" w:cs="Times New Roman"/>
          <w:kern w:val="0"/>
          <w:sz w:val="24"/>
          <w:lang w:eastAsia="zh-CN"/>
        </w:rPr>
        <w:t>因卖方原因导致合同无法履行的，卖方应赔偿买方因此遭受的全部损失，包括但不限于另行采购的差价损失、仓储费用及行政罚款。</w:t>
      </w:r>
      <w:r>
        <w:rPr>
          <w:rFonts w:hint="eastAsia" w:cs="Times New Roman"/>
          <w:color w:val="FF0000"/>
          <w:kern w:val="0"/>
          <w:sz w:val="24"/>
          <w:lang w:eastAsia="zh-CN"/>
        </w:rPr>
        <w:t xml:space="preserve"> </w:t>
      </w:r>
      <w:r>
        <w:rPr>
          <w:rFonts w:hint="eastAsia" w:cs="Times New Roman"/>
          <w:kern w:val="0"/>
          <w:sz w:val="24"/>
          <w:lang w:eastAsia="zh-CN"/>
        </w:rPr>
        <w:t>检验期间，卖方应无条件配合扦样；卖方无正当理由拒绝配合的，视为认可买方单方委托的检验结果。</w:t>
      </w:r>
    </w:p>
    <w:p w14:paraId="02890F9F">
      <w:pPr>
        <w:keepNext w:val="0"/>
        <w:keepLines w:val="0"/>
        <w:pageBreakBefore w:val="0"/>
        <w:widowControl w:val="0"/>
        <w:kinsoku/>
        <w:wordWrap/>
        <w:overflowPunct/>
        <w:topLinePunct w:val="0"/>
        <w:autoSpaceDE w:val="0"/>
        <w:autoSpaceDN w:val="0"/>
        <w:bidi w:val="0"/>
        <w:adjustRightInd w:val="0"/>
        <w:snapToGrid/>
        <w:spacing w:line="340" w:lineRule="exact"/>
        <w:ind w:firstLine="482" w:firstLineChars="200"/>
        <w:textAlignment w:val="auto"/>
        <w:rPr>
          <w:rFonts w:hint="default" w:ascii="Times New Roman" w:hAnsi="Times New Roman" w:eastAsia="宋体" w:cs="Times New Roman"/>
          <w:color w:val="auto"/>
          <w:kern w:val="0"/>
          <w:sz w:val="24"/>
          <w:highlight w:val="none"/>
        </w:rPr>
      </w:pPr>
      <w:r>
        <w:rPr>
          <w:rFonts w:hint="eastAsia" w:cs="Times New Roman"/>
          <w:b/>
          <w:bCs/>
          <w:color w:val="auto"/>
          <w:kern w:val="0"/>
          <w:sz w:val="24"/>
          <w:highlight w:val="none"/>
          <w:lang w:val="en-US" w:eastAsia="zh-CN"/>
        </w:rPr>
        <w:t>十</w:t>
      </w:r>
      <w:r>
        <w:rPr>
          <w:rFonts w:hint="default" w:ascii="Times New Roman" w:hAnsi="Times New Roman" w:eastAsia="宋体" w:cs="Times New Roman"/>
          <w:b/>
          <w:bCs/>
          <w:color w:val="auto"/>
          <w:kern w:val="0"/>
          <w:sz w:val="24"/>
          <w:highlight w:val="none"/>
        </w:rPr>
        <w:t>、</w:t>
      </w:r>
      <w:r>
        <w:rPr>
          <w:rFonts w:hint="default" w:ascii="Times New Roman" w:hAnsi="Times New Roman" w:eastAsia="宋体" w:cs="Times New Roman"/>
          <w:color w:val="auto"/>
          <w:kern w:val="0"/>
          <w:sz w:val="24"/>
          <w:highlight w:val="none"/>
        </w:rPr>
        <w:t>本合同自</w:t>
      </w:r>
      <w:r>
        <w:rPr>
          <w:rFonts w:hint="eastAsia" w:cs="Times New Roman"/>
          <w:color w:val="auto"/>
          <w:kern w:val="0"/>
          <w:sz w:val="24"/>
          <w:highlight w:val="none"/>
          <w:lang w:eastAsia="zh-CN"/>
        </w:rPr>
        <w:t>双方</w:t>
      </w:r>
      <w:r>
        <w:rPr>
          <w:rFonts w:hint="default" w:ascii="Times New Roman" w:hAnsi="Times New Roman" w:eastAsia="宋体" w:cs="Times New Roman"/>
          <w:color w:val="auto"/>
          <w:kern w:val="0"/>
          <w:sz w:val="24"/>
          <w:highlight w:val="none"/>
        </w:rPr>
        <w:t>签</w:t>
      </w:r>
      <w:r>
        <w:rPr>
          <w:rFonts w:hint="eastAsia" w:cs="Times New Roman"/>
          <w:color w:val="auto"/>
          <w:kern w:val="0"/>
          <w:sz w:val="24"/>
          <w:highlight w:val="none"/>
          <w:lang w:eastAsia="zh-CN"/>
        </w:rPr>
        <w:t>字盖章</w:t>
      </w:r>
      <w:r>
        <w:rPr>
          <w:rFonts w:hint="default" w:ascii="Times New Roman" w:hAnsi="Times New Roman" w:eastAsia="宋体" w:cs="Times New Roman"/>
          <w:color w:val="auto"/>
          <w:kern w:val="0"/>
          <w:sz w:val="24"/>
          <w:highlight w:val="none"/>
        </w:rPr>
        <w:t>之日起生效，双方完</w:t>
      </w:r>
      <w:r>
        <w:rPr>
          <w:rFonts w:hint="eastAsia" w:cs="Times New Roman"/>
          <w:color w:val="auto"/>
          <w:kern w:val="0"/>
          <w:sz w:val="24"/>
          <w:highlight w:val="none"/>
          <w:lang w:eastAsia="zh-CN"/>
        </w:rPr>
        <w:t>成本合同项下全部义务</w:t>
      </w:r>
      <w:r>
        <w:rPr>
          <w:rFonts w:hint="default" w:ascii="Times New Roman" w:hAnsi="Times New Roman" w:eastAsia="宋体" w:cs="Times New Roman"/>
          <w:color w:val="auto"/>
          <w:kern w:val="0"/>
          <w:sz w:val="24"/>
          <w:highlight w:val="none"/>
        </w:rPr>
        <w:t>后，</w:t>
      </w:r>
      <w:r>
        <w:rPr>
          <w:rFonts w:hint="eastAsia" w:cs="Times New Roman"/>
          <w:color w:val="auto"/>
          <w:kern w:val="0"/>
          <w:sz w:val="24"/>
          <w:highlight w:val="none"/>
          <w:lang w:eastAsia="zh-CN"/>
        </w:rPr>
        <w:t>本合同</w:t>
      </w:r>
      <w:r>
        <w:rPr>
          <w:rFonts w:hint="default" w:ascii="Times New Roman" w:hAnsi="Times New Roman" w:eastAsia="宋体" w:cs="Times New Roman"/>
          <w:color w:val="auto"/>
          <w:kern w:val="0"/>
          <w:sz w:val="24"/>
          <w:highlight w:val="none"/>
        </w:rPr>
        <w:t>终止。</w:t>
      </w:r>
    </w:p>
    <w:p w14:paraId="318BD6FF">
      <w:pPr>
        <w:keepNext w:val="0"/>
        <w:keepLines w:val="0"/>
        <w:pageBreakBefore w:val="0"/>
        <w:widowControl w:val="0"/>
        <w:kinsoku/>
        <w:wordWrap/>
        <w:overflowPunct/>
        <w:topLinePunct w:val="0"/>
        <w:autoSpaceDE w:val="0"/>
        <w:autoSpaceDN w:val="0"/>
        <w:bidi w:val="0"/>
        <w:adjustRightInd w:val="0"/>
        <w:snapToGrid/>
        <w:spacing w:line="340" w:lineRule="exact"/>
        <w:ind w:firstLine="482" w:firstLineChars="200"/>
        <w:textAlignment w:val="auto"/>
        <w:rPr>
          <w:rFonts w:hint="eastAsia" w:ascii="宋体" w:hAnsi="宋体" w:eastAsia="宋体" w:cs="宋体"/>
          <w:sz w:val="24"/>
          <w:szCs w:val="24"/>
          <w:lang w:val="en-US" w:eastAsia="zh-CN"/>
        </w:rPr>
      </w:pPr>
      <w:r>
        <w:rPr>
          <w:rFonts w:hint="default" w:ascii="Times New Roman" w:hAnsi="Times New Roman" w:eastAsia="宋体" w:cs="Times New Roman"/>
          <w:b/>
          <w:bCs/>
          <w:color w:val="auto"/>
          <w:kern w:val="0"/>
          <w:sz w:val="24"/>
          <w:highlight w:val="none"/>
        </w:rPr>
        <w:t>十</w:t>
      </w:r>
      <w:r>
        <w:rPr>
          <w:rFonts w:hint="eastAsia" w:cs="Times New Roman"/>
          <w:b/>
          <w:bCs/>
          <w:color w:val="auto"/>
          <w:kern w:val="0"/>
          <w:sz w:val="24"/>
          <w:highlight w:val="none"/>
          <w:lang w:val="en-US" w:eastAsia="zh-CN"/>
        </w:rPr>
        <w:t>一</w:t>
      </w:r>
      <w:r>
        <w:rPr>
          <w:rFonts w:hint="default" w:ascii="Times New Roman" w:hAnsi="Times New Roman" w:eastAsia="宋体" w:cs="Times New Roman"/>
          <w:b/>
          <w:bCs/>
          <w:color w:val="auto"/>
          <w:kern w:val="0"/>
          <w:sz w:val="24"/>
          <w:highlight w:val="none"/>
        </w:rPr>
        <w:t>、</w:t>
      </w:r>
      <w:r>
        <w:rPr>
          <w:rFonts w:hint="default" w:ascii="Times New Roman" w:hAnsi="Times New Roman" w:eastAsia="宋体" w:cs="Times New Roman"/>
          <w:color w:val="auto"/>
          <w:kern w:val="0"/>
          <w:sz w:val="24"/>
          <w:highlight w:val="none"/>
        </w:rPr>
        <w:t>如有未尽事宜，买卖双方</w:t>
      </w:r>
      <w:r>
        <w:rPr>
          <w:rFonts w:hint="eastAsia" w:cs="Times New Roman"/>
          <w:color w:val="auto"/>
          <w:kern w:val="0"/>
          <w:sz w:val="24"/>
          <w:highlight w:val="none"/>
          <w:lang w:val="en-US" w:eastAsia="zh-CN"/>
        </w:rPr>
        <w:t>另行签订补充协议。</w:t>
      </w:r>
      <w:r>
        <w:rPr>
          <w:rFonts w:hint="default" w:ascii="Times New Roman" w:hAnsi="Times New Roman" w:eastAsia="宋体" w:cs="Times New Roman"/>
          <w:kern w:val="0"/>
          <w:sz w:val="24"/>
        </w:rPr>
        <w:t>协商不成的，</w:t>
      </w:r>
      <w:r>
        <w:rPr>
          <w:rFonts w:hint="eastAsia" w:ascii="宋体" w:hAnsi="宋体" w:eastAsia="宋体" w:cs="宋体"/>
          <w:sz w:val="24"/>
          <w:szCs w:val="24"/>
          <w:lang w:val="en-US" w:eastAsia="zh-CN"/>
        </w:rPr>
        <w:t>任何一方</w:t>
      </w:r>
      <w:r>
        <w:rPr>
          <w:rFonts w:hint="eastAsia" w:ascii="宋体" w:hAnsi="宋体" w:cs="宋体"/>
          <w:sz w:val="24"/>
          <w:szCs w:val="24"/>
          <w:lang w:val="en-US" w:eastAsia="zh-CN"/>
        </w:rPr>
        <w:t>有权</w:t>
      </w:r>
      <w:r>
        <w:rPr>
          <w:rFonts w:hint="eastAsia" w:ascii="宋体" w:hAnsi="宋体" w:eastAsia="宋体" w:cs="宋体"/>
          <w:sz w:val="24"/>
          <w:szCs w:val="24"/>
          <w:lang w:val="en-US" w:eastAsia="zh-CN"/>
        </w:rPr>
        <w:t>向</w:t>
      </w:r>
      <w:r>
        <w:rPr>
          <w:rFonts w:hint="eastAsia" w:ascii="宋体" w:hAnsi="宋体" w:cs="宋体"/>
          <w:sz w:val="24"/>
          <w:szCs w:val="24"/>
          <w:lang w:val="en-US" w:eastAsia="zh-CN"/>
        </w:rPr>
        <w:t>买</w:t>
      </w:r>
      <w:r>
        <w:rPr>
          <w:rFonts w:hint="eastAsia" w:ascii="宋体" w:hAnsi="宋体" w:eastAsia="宋体" w:cs="宋体"/>
          <w:sz w:val="24"/>
          <w:szCs w:val="24"/>
          <w:lang w:val="en-US" w:eastAsia="zh-CN"/>
        </w:rPr>
        <w:t>方所在地</w:t>
      </w:r>
      <w:r>
        <w:rPr>
          <w:rFonts w:hint="eastAsia" w:ascii="宋体" w:hAnsi="宋体" w:cs="宋体"/>
          <w:sz w:val="24"/>
          <w:szCs w:val="24"/>
          <w:lang w:val="en-US" w:eastAsia="zh-CN"/>
        </w:rPr>
        <w:t>有管辖权的</w:t>
      </w:r>
      <w:r>
        <w:rPr>
          <w:rFonts w:hint="eastAsia" w:ascii="宋体" w:hAnsi="宋体" w:eastAsia="宋体" w:cs="宋体"/>
          <w:sz w:val="24"/>
          <w:szCs w:val="24"/>
          <w:lang w:val="en-US" w:eastAsia="zh-CN"/>
        </w:rPr>
        <w:t>人民法院提起诉讼。</w:t>
      </w:r>
    </w:p>
    <w:p w14:paraId="6E684E1D">
      <w:pPr>
        <w:keepNext w:val="0"/>
        <w:keepLines w:val="0"/>
        <w:pageBreakBefore w:val="0"/>
        <w:widowControl w:val="0"/>
        <w:kinsoku/>
        <w:wordWrap/>
        <w:overflowPunct/>
        <w:topLinePunct w:val="0"/>
        <w:autoSpaceDE w:val="0"/>
        <w:autoSpaceDN w:val="0"/>
        <w:bidi w:val="0"/>
        <w:adjustRightInd w:val="0"/>
        <w:snapToGrid/>
        <w:spacing w:line="340" w:lineRule="exact"/>
        <w:ind w:firstLine="482"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b/>
          <w:bCs/>
          <w:kern w:val="0"/>
          <w:sz w:val="24"/>
        </w:rPr>
        <w:t>十</w:t>
      </w:r>
      <w:r>
        <w:rPr>
          <w:rFonts w:hint="eastAsia" w:cs="Times New Roman"/>
          <w:b/>
          <w:bCs/>
          <w:kern w:val="0"/>
          <w:sz w:val="24"/>
          <w:lang w:val="en-US" w:eastAsia="zh-CN"/>
        </w:rPr>
        <w:t>二</w:t>
      </w:r>
      <w:r>
        <w:rPr>
          <w:rFonts w:hint="default" w:ascii="Times New Roman" w:hAnsi="Times New Roman" w:eastAsia="宋体" w:cs="Times New Roman"/>
          <w:b/>
          <w:bCs/>
          <w:kern w:val="0"/>
          <w:sz w:val="24"/>
        </w:rPr>
        <w:t>、</w:t>
      </w:r>
      <w:r>
        <w:rPr>
          <w:rFonts w:hint="default" w:ascii="Times New Roman" w:hAnsi="Times New Roman" w:eastAsia="宋体" w:cs="Times New Roman"/>
          <w:kern w:val="0"/>
          <w:sz w:val="24"/>
        </w:rPr>
        <w:t>本合同一式三份，买卖双方、确认单位各执一份。</w:t>
      </w:r>
    </w:p>
    <w:p w14:paraId="344FD898">
      <w:pPr>
        <w:keepNext w:val="0"/>
        <w:keepLines w:val="0"/>
        <w:pageBreakBefore w:val="0"/>
        <w:widowControl w:val="0"/>
        <w:kinsoku/>
        <w:wordWrap/>
        <w:overflowPunct/>
        <w:topLinePunct w:val="0"/>
        <w:autoSpaceDE w:val="0"/>
        <w:autoSpaceDN w:val="0"/>
        <w:bidi w:val="0"/>
        <w:adjustRightInd w:val="0"/>
        <w:snapToGrid/>
        <w:spacing w:line="340" w:lineRule="exact"/>
        <w:ind w:firstLine="480" w:firstLineChars="200"/>
        <w:textAlignment w:val="auto"/>
        <w:rPr>
          <w:rFonts w:hint="eastAsia" w:ascii="Times New Roman" w:hAnsi="Times New Roman" w:eastAsia="宋体" w:cs="Times New Roman"/>
          <w:color w:val="FF0000"/>
          <w:kern w:val="0"/>
          <w:sz w:val="24"/>
          <w:lang w:eastAsia="zh-CN"/>
        </w:rPr>
      </w:pPr>
      <w:r>
        <w:rPr>
          <w:rFonts w:hint="eastAsia" w:cs="Times New Roman"/>
          <w:kern w:val="0"/>
          <w:sz w:val="24"/>
          <w:lang w:eastAsia="zh-CN"/>
        </w:rPr>
        <w:t>通知与送达：双方因履行本合同发出的通知、文件及其他材料，应通过专人递送、快递、电子邮件或双方书面确认的其他方式，发送至双方在本合同或履行过程中书面确认的联系地址、电子邮箱或其他送达地址。一方变更送达信息的，应提前以书面方式通知对方；未及时通知的，原送达信息仍为有效送达地址。专人递送的，以签收之日为送达日；快递寄送的，以签收之日或寄出后第三个工作日之较早者为送达日；电子邮件发送的，以邮件进入对方指定邮箱系统之日为送达日。</w:t>
      </w:r>
      <w:r>
        <w:rPr>
          <w:rFonts w:hint="eastAsia" w:cs="Times New Roman"/>
          <w:color w:val="FF0000"/>
          <w:kern w:val="0"/>
          <w:sz w:val="24"/>
          <w:lang w:eastAsia="zh-CN"/>
        </w:rPr>
        <w:t xml:space="preserve"> </w:t>
      </w:r>
      <w:bookmarkStart w:id="0" w:name="auto_fouce_32"/>
    </w:p>
    <w:p w14:paraId="0B32BDEE">
      <w:pPr>
        <w:keepNext w:val="0"/>
        <w:keepLines w:val="0"/>
        <w:pageBreakBefore w:val="0"/>
        <w:widowControl w:val="0"/>
        <w:kinsoku/>
        <w:wordWrap/>
        <w:overflowPunct/>
        <w:topLinePunct w:val="0"/>
        <w:autoSpaceDE w:val="0"/>
        <w:autoSpaceDN w:val="0"/>
        <w:bidi w:val="0"/>
        <w:adjustRightInd w:val="0"/>
        <w:snapToGrid/>
        <w:spacing w:line="340" w:lineRule="exact"/>
        <w:ind w:firstLine="480" w:firstLineChars="200"/>
        <w:textAlignment w:val="auto"/>
        <w:rPr>
          <w:rFonts w:hint="eastAsia" w:ascii="Times New Roman" w:hAnsi="Times New Roman" w:eastAsia="宋体" w:cs="Times New Roman"/>
          <w:color w:val="FF0000"/>
          <w:kern w:val="0"/>
          <w:sz w:val="24"/>
          <w:lang w:eastAsia="zh-CN"/>
        </w:rPr>
      </w:pPr>
      <w:r>
        <w:rPr>
          <w:rFonts w:hint="eastAsia" w:cs="Times New Roman"/>
          <w:kern w:val="0"/>
          <w:sz w:val="24"/>
          <w:lang w:eastAsia="zh-CN"/>
        </w:rPr>
        <w:t>主体资格确认：卖方应向买方提供营业执照、法定代表人身份证明；委托代理人签署合同的，还应提供授权委托书及代理人身份证明。卖方保证其具备签订和履行本合同的主体资格，并保证所提供的证明文件真实、有效、完整。</w:t>
      </w:r>
      <w:bookmarkEnd w:id="0"/>
      <w:r>
        <w:rPr>
          <w:rFonts w:hint="eastAsia" w:cs="Times New Roman"/>
          <w:color w:val="FF0000"/>
          <w:kern w:val="0"/>
          <w:sz w:val="24"/>
          <w:lang w:eastAsia="zh-CN"/>
        </w:rPr>
        <w:t xml:space="preserve"> </w:t>
      </w:r>
      <w:bookmarkStart w:id="1" w:name="auto_fouce_33"/>
    </w:p>
    <w:p w14:paraId="587650DB">
      <w:pPr>
        <w:keepNext w:val="0"/>
        <w:keepLines w:val="0"/>
        <w:pageBreakBefore w:val="0"/>
        <w:widowControl w:val="0"/>
        <w:kinsoku/>
        <w:wordWrap/>
        <w:overflowPunct/>
        <w:topLinePunct w:val="0"/>
        <w:autoSpaceDE w:val="0"/>
        <w:autoSpaceDN w:val="0"/>
        <w:bidi w:val="0"/>
        <w:adjustRightInd w:val="0"/>
        <w:snapToGrid/>
        <w:spacing w:line="340" w:lineRule="exact"/>
        <w:ind w:firstLine="480" w:firstLineChars="200"/>
        <w:textAlignment w:val="auto"/>
        <w:rPr>
          <w:rFonts w:hint="eastAsia" w:ascii="Times New Roman" w:hAnsi="Times New Roman" w:eastAsia="宋体" w:cs="Times New Roman"/>
          <w:kern w:val="0"/>
          <w:sz w:val="24"/>
          <w:lang w:eastAsia="zh-CN"/>
        </w:rPr>
      </w:pPr>
      <w:r>
        <w:rPr>
          <w:rFonts w:hint="eastAsia" w:cs="Times New Roman"/>
          <w:kern w:val="0"/>
          <w:sz w:val="24"/>
          <w:lang w:eastAsia="zh-CN"/>
        </w:rPr>
        <w:t>粮食权属确认：卖方保证交付粮食的权属清晰、合法，卖方对该批粮食享有完整处分权，粮食不存在抵押、质押、查封、扣押、租赁、共有争议或其他任何权利负担。因粮食权属或权利负担产生争议的，由卖方负责解决并承担由此给买方造成的全部损失。</w:t>
      </w:r>
      <w:bookmarkEnd w:id="1"/>
    </w:p>
    <w:p w14:paraId="4F84FA58">
      <w:pPr>
        <w:pStyle w:val="4"/>
        <w:rPr>
          <w:rFonts w:hint="default"/>
        </w:rPr>
      </w:pPr>
    </w:p>
    <w:p w14:paraId="16B1211A">
      <w:pPr>
        <w:keepNext w:val="0"/>
        <w:keepLines w:val="0"/>
        <w:pageBreakBefore w:val="0"/>
        <w:widowControl w:val="0"/>
        <w:kinsoku/>
        <w:wordWrap/>
        <w:overflowPunct/>
        <w:topLinePunct w:val="0"/>
        <w:autoSpaceDE w:val="0"/>
        <w:autoSpaceDN w:val="0"/>
        <w:bidi w:val="0"/>
        <w:adjustRightInd w:val="0"/>
        <w:snapToGrid/>
        <w:spacing w:line="340" w:lineRule="exact"/>
        <w:ind w:firstLine="480" w:firstLineChars="200"/>
        <w:textAlignment w:val="auto"/>
        <w:rPr>
          <w:rFonts w:hint="default" w:ascii="Times New Roman" w:hAnsi="Times New Roman" w:eastAsia="宋体" w:cs="Times New Roman"/>
          <w:kern w:val="0"/>
          <w:sz w:val="24"/>
        </w:rPr>
      </w:pPr>
    </w:p>
    <w:p w14:paraId="2C594D6B">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default" w:ascii="Times New Roman" w:hAnsi="Times New Roman" w:eastAsia="宋体" w:cs="Times New Roman"/>
          <w:kern w:val="0"/>
          <w:sz w:val="28"/>
        </w:rPr>
      </w:pPr>
    </w:p>
    <w:p w14:paraId="38C96E55">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default" w:ascii="Times New Roman" w:hAnsi="Times New Roman" w:eastAsia="宋体" w:cs="Times New Roman"/>
          <w:kern w:val="0"/>
          <w:sz w:val="28"/>
        </w:rPr>
      </w:pPr>
    </w:p>
    <w:p w14:paraId="24161089">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default" w:ascii="Times New Roman" w:hAnsi="Times New Roman" w:eastAsia="宋体" w:cs="Times New Roman"/>
          <w:kern w:val="0"/>
          <w:sz w:val="24"/>
        </w:rPr>
      </w:pPr>
      <w:r>
        <w:rPr>
          <w:rFonts w:hint="default" w:ascii="Times New Roman" w:hAnsi="Times New Roman" w:eastAsia="宋体" w:cs="Times New Roman"/>
          <w:b/>
          <w:bCs/>
          <w:kern w:val="0"/>
          <w:sz w:val="24"/>
        </w:rPr>
        <w:t>买方单位（盖章）：</w:t>
      </w:r>
      <w:r>
        <w:rPr>
          <w:rFonts w:hint="default" w:ascii="Times New Roman" w:hAnsi="Times New Roman" w:eastAsia="宋体" w:cs="Times New Roman"/>
          <w:kern w:val="0"/>
          <w:sz w:val="24"/>
        </w:rPr>
        <w:t xml:space="preserve">                      </w:t>
      </w:r>
      <w:r>
        <w:rPr>
          <w:rFonts w:hint="default" w:ascii="Times New Roman" w:hAnsi="Times New Roman" w:eastAsia="宋体" w:cs="Times New Roman"/>
          <w:b/>
          <w:bCs/>
          <w:kern w:val="0"/>
          <w:sz w:val="24"/>
        </w:rPr>
        <w:t>卖方单位（盖章）：</w:t>
      </w:r>
      <w:r>
        <w:rPr>
          <w:rFonts w:hint="default" w:ascii="Times New Roman" w:hAnsi="Times New Roman" w:eastAsia="宋体" w:cs="Times New Roman"/>
          <w:kern w:val="0"/>
          <w:sz w:val="24"/>
        </w:rPr>
        <w:t xml:space="preserve"> </w:t>
      </w:r>
    </w:p>
    <w:p w14:paraId="575EB73E">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default" w:ascii="Times New Roman" w:hAnsi="Times New Roman" w:eastAsia="宋体" w:cs="Times New Roman"/>
          <w:w w:val="90"/>
          <w:kern w:val="0"/>
          <w:sz w:val="24"/>
        </w:rPr>
      </w:pPr>
    </w:p>
    <w:p w14:paraId="2871E67F">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default" w:ascii="Times New Roman" w:hAnsi="Times New Roman" w:eastAsia="宋体" w:cs="Times New Roman"/>
          <w:kern w:val="0"/>
          <w:sz w:val="24"/>
        </w:rPr>
      </w:pPr>
      <w:r>
        <w:rPr>
          <w:rFonts w:hint="default" w:ascii="Times New Roman" w:hAnsi="Times New Roman" w:eastAsia="宋体" w:cs="Times New Roman"/>
          <w:w w:val="90"/>
          <w:kern w:val="0"/>
          <w:sz w:val="24"/>
        </w:rPr>
        <w:t>法人或代理人（签字）：</w:t>
      </w:r>
      <w:r>
        <w:rPr>
          <w:rFonts w:hint="default" w:ascii="Times New Roman" w:hAnsi="Times New Roman" w:eastAsia="宋体" w:cs="Times New Roman"/>
          <w:kern w:val="0"/>
          <w:sz w:val="24"/>
        </w:rPr>
        <w:t xml:space="preserve">                  </w:t>
      </w:r>
      <w:r>
        <w:rPr>
          <w:rFonts w:hint="default" w:ascii="Times New Roman" w:hAnsi="Times New Roman" w:cs="Times New Roman"/>
          <w:kern w:val="0"/>
          <w:sz w:val="24"/>
          <w:lang w:val="en-US" w:eastAsia="zh-CN"/>
        </w:rPr>
        <w:t xml:space="preserve">  </w:t>
      </w:r>
      <w:r>
        <w:rPr>
          <w:rFonts w:hint="default" w:ascii="Times New Roman" w:hAnsi="Times New Roman" w:eastAsia="宋体" w:cs="Times New Roman"/>
          <w:w w:val="90"/>
          <w:kern w:val="0"/>
          <w:sz w:val="24"/>
        </w:rPr>
        <w:t>法人或代理人（签字）：</w:t>
      </w:r>
    </w:p>
    <w:p w14:paraId="70592FFD">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default" w:ascii="Times New Roman" w:hAnsi="Times New Roman" w:eastAsia="宋体" w:cs="Times New Roman"/>
          <w:sz w:val="24"/>
        </w:rPr>
      </w:pPr>
    </w:p>
    <w:p w14:paraId="26CAAE4B">
      <w:pPr>
        <w:keepNext w:val="0"/>
        <w:keepLines w:val="0"/>
        <w:pageBreakBefore w:val="0"/>
        <w:widowControl w:val="0"/>
        <w:kinsoku/>
        <w:wordWrap/>
        <w:overflowPunct/>
        <w:topLinePunct w:val="0"/>
        <w:autoSpaceDE w:val="0"/>
        <w:autoSpaceDN w:val="0"/>
        <w:bidi w:val="0"/>
        <w:adjustRightInd w:val="0"/>
        <w:snapToGrid/>
        <w:spacing w:line="340" w:lineRule="exact"/>
        <w:ind w:firstLine="480" w:firstLineChars="200"/>
        <w:textAlignment w:val="auto"/>
        <w:rPr>
          <w:rFonts w:hint="default" w:ascii="Times New Roman" w:hAnsi="Times New Roman" w:eastAsia="宋体" w:cs="Times New Roman"/>
          <w:color w:val="auto"/>
          <w:kern w:val="0"/>
          <w:sz w:val="24"/>
        </w:rPr>
      </w:pPr>
    </w:p>
    <w:p w14:paraId="48CD94C0">
      <w:pPr>
        <w:keepNext w:val="0"/>
        <w:keepLines w:val="0"/>
        <w:pageBreakBefore w:val="0"/>
        <w:widowControl w:val="0"/>
        <w:kinsoku/>
        <w:wordWrap/>
        <w:overflowPunct/>
        <w:topLinePunct w:val="0"/>
        <w:autoSpaceDE w:val="0"/>
        <w:autoSpaceDN w:val="0"/>
        <w:bidi w:val="0"/>
        <w:adjustRightInd w:val="0"/>
        <w:snapToGrid/>
        <w:spacing w:line="340" w:lineRule="exact"/>
        <w:ind w:firstLine="480" w:firstLineChars="200"/>
        <w:textAlignment w:val="auto"/>
        <w:rPr>
          <w:rFonts w:hint="default" w:ascii="Times New Roman" w:hAnsi="Times New Roman" w:eastAsia="宋体" w:cs="Times New Roman"/>
          <w:color w:val="auto"/>
          <w:kern w:val="0"/>
          <w:sz w:val="24"/>
        </w:rPr>
      </w:pPr>
    </w:p>
    <w:p w14:paraId="7A36C939">
      <w:pPr>
        <w:keepNext w:val="0"/>
        <w:keepLines w:val="0"/>
        <w:pageBreakBefore w:val="0"/>
        <w:widowControl w:val="0"/>
        <w:kinsoku/>
        <w:wordWrap/>
        <w:overflowPunct/>
        <w:topLinePunct w:val="0"/>
        <w:autoSpaceDE w:val="0"/>
        <w:autoSpaceDN w:val="0"/>
        <w:bidi w:val="0"/>
        <w:adjustRightInd w:val="0"/>
        <w:snapToGrid/>
        <w:spacing w:line="340" w:lineRule="exact"/>
        <w:ind w:firstLine="480" w:firstLineChars="200"/>
        <w:textAlignment w:val="auto"/>
        <w:rPr>
          <w:rFonts w:hint="default" w:ascii="Times New Roman" w:hAnsi="Times New Roman" w:eastAsia="宋体" w:cs="Times New Roman"/>
          <w:color w:val="auto"/>
          <w:kern w:val="0"/>
          <w:sz w:val="24"/>
        </w:rPr>
      </w:pPr>
    </w:p>
    <w:p w14:paraId="4D527650">
      <w:pPr>
        <w:keepNext w:val="0"/>
        <w:keepLines w:val="0"/>
        <w:pageBreakBefore w:val="0"/>
        <w:widowControl w:val="0"/>
        <w:kinsoku/>
        <w:wordWrap/>
        <w:overflowPunct/>
        <w:topLinePunct w:val="0"/>
        <w:autoSpaceDE w:val="0"/>
        <w:autoSpaceDN w:val="0"/>
        <w:bidi w:val="0"/>
        <w:adjustRightInd w:val="0"/>
        <w:snapToGrid/>
        <w:spacing w:line="340" w:lineRule="exact"/>
        <w:ind w:firstLine="480" w:firstLineChars="200"/>
        <w:textAlignment w:val="auto"/>
        <w:rPr>
          <w:rFonts w:hint="default" w:ascii="Times New Roman" w:hAnsi="Times New Roman" w:eastAsia="宋体" w:cs="Times New Roman"/>
          <w:color w:val="auto"/>
          <w:kern w:val="0"/>
          <w:sz w:val="24"/>
        </w:rPr>
      </w:pPr>
    </w:p>
    <w:p w14:paraId="1F41369E">
      <w:pPr>
        <w:keepNext w:val="0"/>
        <w:keepLines w:val="0"/>
        <w:pageBreakBefore w:val="0"/>
        <w:widowControl w:val="0"/>
        <w:kinsoku/>
        <w:wordWrap/>
        <w:overflowPunct/>
        <w:topLinePunct w:val="0"/>
        <w:autoSpaceDE w:val="0"/>
        <w:autoSpaceDN w:val="0"/>
        <w:bidi w:val="0"/>
        <w:adjustRightInd w:val="0"/>
        <w:snapToGrid/>
        <w:spacing w:line="340" w:lineRule="exact"/>
        <w:ind w:firstLine="480" w:firstLineChars="200"/>
        <w:textAlignment w:val="auto"/>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确认单位：梅州市嘉应粮食交易中心有限公司</w:t>
      </w:r>
    </w:p>
    <w:p w14:paraId="27256678">
      <w:pPr>
        <w:keepNext w:val="0"/>
        <w:keepLines w:val="0"/>
        <w:pageBreakBefore w:val="0"/>
        <w:widowControl w:val="0"/>
        <w:kinsoku/>
        <w:wordWrap/>
        <w:overflowPunct/>
        <w:topLinePunct w:val="0"/>
        <w:bidi w:val="0"/>
        <w:snapToGrid/>
        <w:spacing w:line="340" w:lineRule="exact"/>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auto"/>
          <w:kern w:val="0"/>
          <w:sz w:val="24"/>
        </w:rPr>
        <w:t xml:space="preserve">电话（传真）：0753-2128232   0753-2128231  </w:t>
      </w:r>
    </w:p>
    <w:p w14:paraId="1BEA54A1">
      <w:pPr>
        <w:keepNext w:val="0"/>
        <w:keepLines w:val="0"/>
        <w:pageBreakBefore w:val="0"/>
        <w:widowControl w:val="0"/>
        <w:kinsoku/>
        <w:wordWrap/>
        <w:overflowPunct/>
        <w:topLinePunct w:val="0"/>
        <w:bidi w:val="0"/>
        <w:snapToGrid/>
        <w:spacing w:line="340" w:lineRule="exact"/>
        <w:textAlignment w:val="auto"/>
        <w:rPr>
          <w:rFonts w:hint="default" w:ascii="Times New Roman" w:hAnsi="Times New Roman" w:eastAsia="宋体" w:cs="Times New Roman"/>
          <w:b/>
          <w:bCs/>
          <w:sz w:val="24"/>
          <w:szCs w:val="24"/>
        </w:rPr>
      </w:pPr>
    </w:p>
    <w:p w14:paraId="78D75BD7">
      <w:pPr>
        <w:keepNext w:val="0"/>
        <w:keepLines w:val="0"/>
        <w:pageBreakBefore w:val="0"/>
        <w:widowControl w:val="0"/>
        <w:kinsoku/>
        <w:wordWrap/>
        <w:overflowPunct/>
        <w:topLinePunct w:val="0"/>
        <w:autoSpaceDE w:val="0"/>
        <w:autoSpaceDN w:val="0"/>
        <w:bidi w:val="0"/>
        <w:adjustRightInd w:val="0"/>
        <w:snapToGrid/>
        <w:spacing w:line="340" w:lineRule="exact"/>
        <w:ind w:firstLine="480" w:firstLineChars="200"/>
        <w:textAlignment w:val="auto"/>
        <w:rPr>
          <w:rFonts w:hint="default" w:ascii="Times New Roman" w:hAnsi="Times New Roman" w:eastAsia="方正仿宋简体" w:cs="Times New Roman"/>
          <w:b w:val="0"/>
          <w:bCs w:val="0"/>
          <w:sz w:val="24"/>
          <w:szCs w:val="24"/>
        </w:rPr>
      </w:pPr>
      <w:r>
        <w:rPr>
          <w:rFonts w:hint="default" w:ascii="Times New Roman" w:hAnsi="Times New Roman" w:eastAsia="宋体" w:cs="Times New Roman"/>
          <w:color w:val="auto"/>
          <w:kern w:val="0"/>
          <w:sz w:val="24"/>
        </w:rPr>
        <w:t xml:space="preserve"> </w:t>
      </w:r>
      <w:r>
        <w:rPr>
          <w:rFonts w:hint="default" w:ascii="Times New Roman" w:hAnsi="Times New Roman" w:eastAsia="方正仿宋简体" w:cs="Times New Roman"/>
          <w:b/>
          <w:bCs/>
          <w:sz w:val="24"/>
          <w:szCs w:val="24"/>
        </w:rPr>
        <w:t xml:space="preserve"> </w:t>
      </w:r>
    </w:p>
    <w:p w14:paraId="09C22215">
      <w:pPr>
        <w:keepNext w:val="0"/>
        <w:keepLines w:val="0"/>
        <w:pageBreakBefore w:val="0"/>
        <w:widowControl w:val="0"/>
        <w:kinsoku/>
        <w:wordWrap/>
        <w:overflowPunct/>
        <w:topLinePunct w:val="0"/>
        <w:bidi w:val="0"/>
        <w:snapToGrid/>
        <w:spacing w:line="340" w:lineRule="exact"/>
        <w:textAlignment w:val="auto"/>
        <w:rPr>
          <w:rFonts w:hint="default" w:ascii="Times New Roman" w:hAnsi="Times New Roman" w:eastAsia="宋体" w:cs="Times New Roman"/>
          <w:color w:val="auto"/>
          <w:kern w:val="0"/>
          <w:sz w:val="24"/>
        </w:rPr>
        <w:sectPr>
          <w:headerReference r:id="rId3" w:type="default"/>
          <w:footerReference r:id="rId4" w:type="default"/>
          <w:pgSz w:w="11906" w:h="16838"/>
          <w:pgMar w:top="1304" w:right="1469" w:bottom="1247" w:left="1797" w:header="851" w:footer="992" w:gutter="0"/>
          <w:pgNumType w:fmt="decimal"/>
          <w:cols w:space="720" w:num="1"/>
          <w:docGrid w:type="lines" w:linePitch="312" w:charSpace="0"/>
        </w:sectPr>
      </w:pPr>
      <w:r>
        <w:rPr>
          <w:rFonts w:hint="default" w:ascii="Times New Roman" w:hAnsi="Times New Roman" w:eastAsia="方正仿宋简体" w:cs="Times New Roman"/>
          <w:b w:val="0"/>
          <w:bCs w:val="0"/>
          <w:sz w:val="24"/>
          <w:szCs w:val="24"/>
        </w:rPr>
        <w:t xml:space="preserve">                                                      </w:t>
      </w:r>
      <w:r>
        <w:rPr>
          <w:rFonts w:hint="default" w:ascii="Times New Roman" w:hAnsi="Times New Roman" w:eastAsia="方正仿宋简体" w:cs="Times New Roman"/>
          <w:b w:val="0"/>
          <w:bCs w:val="0"/>
          <w:sz w:val="24"/>
          <w:szCs w:val="24"/>
          <w:lang w:val="en-US" w:eastAsia="zh-CN"/>
        </w:rPr>
        <w:t>2026</w:t>
      </w:r>
      <w:r>
        <w:rPr>
          <w:rFonts w:hint="default" w:ascii="Times New Roman" w:hAnsi="Times New Roman" w:eastAsia="宋体" w:cs="Times New Roman"/>
          <w:color w:val="auto"/>
          <w:kern w:val="0"/>
          <w:sz w:val="24"/>
        </w:rPr>
        <w:t>年</w:t>
      </w:r>
      <w:r>
        <w:rPr>
          <w:rFonts w:hint="eastAsia" w:ascii="宋体" w:hAnsi="宋体" w:eastAsia="宋体" w:cs="宋体"/>
          <w:color w:val="auto"/>
          <w:kern w:val="0"/>
          <w:sz w:val="24"/>
          <w:lang w:val="en-US" w:eastAsia="zh-CN"/>
        </w:rPr>
        <w:t>XX</w:t>
      </w:r>
      <w:r>
        <w:rPr>
          <w:rFonts w:hint="default" w:ascii="Times New Roman" w:hAnsi="Times New Roman" w:eastAsia="宋体" w:cs="Times New Roman"/>
          <w:color w:val="auto"/>
          <w:kern w:val="0"/>
          <w:sz w:val="24"/>
        </w:rPr>
        <w:t>月</w:t>
      </w:r>
      <w:r>
        <w:rPr>
          <w:rFonts w:hint="eastAsia" w:ascii="宋体" w:hAnsi="宋体" w:eastAsia="宋体" w:cs="宋体"/>
          <w:color w:val="auto"/>
          <w:kern w:val="0"/>
          <w:sz w:val="24"/>
          <w:lang w:val="en-US" w:eastAsia="zh-CN"/>
        </w:rPr>
        <w:t>XX</w:t>
      </w:r>
      <w:r>
        <w:rPr>
          <w:rFonts w:hint="default" w:ascii="Times New Roman" w:hAnsi="Times New Roman" w:eastAsia="宋体" w:cs="Times New Roman"/>
          <w:color w:val="auto"/>
          <w:kern w:val="0"/>
          <w:sz w:val="24"/>
        </w:rPr>
        <w:t>日</w:t>
      </w:r>
    </w:p>
    <w:p w14:paraId="53098F29">
      <w:pPr>
        <w:jc w:val="center"/>
        <w:rPr>
          <w:rFonts w:hint="eastAsia" w:asciiTheme="majorEastAsia" w:hAnsiTheme="majorEastAsia" w:eastAsiaTheme="majorEastAsia"/>
          <w:sz w:val="44"/>
          <w:szCs w:val="44"/>
        </w:rPr>
      </w:pPr>
      <w:r>
        <w:rPr>
          <w:rFonts w:hint="eastAsia" w:asciiTheme="majorEastAsia" w:hAnsiTheme="majorEastAsia" w:eastAsiaTheme="majorEastAsia"/>
          <w:sz w:val="44"/>
          <w:szCs w:val="44"/>
        </w:rPr>
        <w:t>稻谷质量安全信用承诺书</w:t>
      </w:r>
    </w:p>
    <w:p w14:paraId="43C9E14C">
      <w:pPr>
        <w:rPr>
          <w:rFonts w:ascii="仿宋" w:hAnsi="仿宋" w:eastAsia="仿宋"/>
          <w:sz w:val="32"/>
          <w:szCs w:val="32"/>
        </w:rPr>
      </w:pPr>
    </w:p>
    <w:p w14:paraId="67D9F063">
      <w:pPr>
        <w:rPr>
          <w:rFonts w:hint="eastAsia" w:ascii="仿宋" w:hAnsi="仿宋" w:eastAsia="仿宋"/>
          <w:sz w:val="32"/>
          <w:szCs w:val="32"/>
        </w:rPr>
      </w:pPr>
      <w:r>
        <w:rPr>
          <w:rFonts w:hint="eastAsia" w:ascii="仿宋" w:hAnsi="仿宋" w:eastAsia="仿宋"/>
          <w:sz w:val="32"/>
          <w:szCs w:val="32"/>
          <w:lang w:val="en-US" w:eastAsia="zh-CN"/>
        </w:rPr>
        <w:t>丰顺县粮食收储</w:t>
      </w:r>
      <w:r>
        <w:rPr>
          <w:rFonts w:hint="eastAsia" w:ascii="仿宋" w:hAnsi="仿宋" w:eastAsia="仿宋"/>
          <w:sz w:val="32"/>
          <w:szCs w:val="32"/>
        </w:rPr>
        <w:t>有限公司:</w:t>
      </w:r>
    </w:p>
    <w:p w14:paraId="4A87FA7F">
      <w:pPr>
        <w:ind w:firstLine="960" w:firstLineChars="300"/>
        <w:rPr>
          <w:rFonts w:hint="eastAsia" w:ascii="仿宋" w:hAnsi="仿宋" w:eastAsia="仿宋"/>
          <w:sz w:val="32"/>
          <w:szCs w:val="32"/>
        </w:rPr>
      </w:pPr>
      <w:r>
        <w:rPr>
          <w:rFonts w:hint="eastAsia" w:ascii="仿宋" w:hAnsi="仿宋" w:eastAsia="仿宋"/>
          <w:sz w:val="32"/>
          <w:szCs w:val="32"/>
        </w:rPr>
        <w:t>我单位于XX年XX月XX日在梅州市嘉应粮食交易中心有限公司竞价采购交易中标</w:t>
      </w:r>
      <w:r>
        <w:rPr>
          <w:rFonts w:hint="eastAsia" w:ascii="仿宋" w:hAnsi="仿宋" w:eastAsia="仿宋"/>
          <w:sz w:val="32"/>
          <w:szCs w:val="32"/>
          <w:lang w:val="en-US" w:eastAsia="zh-CN"/>
        </w:rPr>
        <w:t>丰顺县县级储备粮稻谷静态代储包干轮换企业，负责8100吨储备粮采购任务。采购</w:t>
      </w:r>
      <w:r>
        <w:rPr>
          <w:rFonts w:hint="eastAsia" w:ascii="仿宋" w:hAnsi="仿宋" w:eastAsia="仿宋"/>
          <w:sz w:val="32"/>
          <w:szCs w:val="32"/>
        </w:rPr>
        <w:t>XXXX年产三级</w:t>
      </w:r>
      <w:r>
        <w:rPr>
          <w:rFonts w:hint="eastAsia" w:ascii="仿宋" w:hAnsi="仿宋" w:eastAsia="仿宋"/>
          <w:sz w:val="32"/>
          <w:szCs w:val="32"/>
          <w:lang w:val="en-US" w:eastAsia="zh-CN"/>
        </w:rPr>
        <w:t>籼稻</w:t>
      </w:r>
      <w:r>
        <w:rPr>
          <w:rFonts w:hint="eastAsia" w:ascii="仿宋" w:hAnsi="仿宋" w:eastAsia="仿宋"/>
          <w:sz w:val="32"/>
          <w:szCs w:val="32"/>
        </w:rPr>
        <w:t>XXXX吨(合同编号:XXXXXX)。我单位郑重承诺:</w:t>
      </w:r>
    </w:p>
    <w:p w14:paraId="3F61A382">
      <w:pPr>
        <w:ind w:firstLine="640" w:firstLineChars="200"/>
        <w:rPr>
          <w:rFonts w:hint="eastAsia" w:ascii="仿宋" w:hAnsi="仿宋" w:eastAsia="仿宋"/>
          <w:sz w:val="32"/>
          <w:szCs w:val="32"/>
        </w:rPr>
      </w:pPr>
      <w:r>
        <w:rPr>
          <w:rFonts w:hint="eastAsia" w:ascii="仿宋" w:hAnsi="仿宋" w:eastAsia="仿宋"/>
          <w:sz w:val="32"/>
          <w:szCs w:val="32"/>
        </w:rPr>
        <w:t>一、销售给贵公司的该批稻谷我单位拥有完全处分权，</w:t>
      </w:r>
    </w:p>
    <w:p w14:paraId="7A4135BB">
      <w:pPr>
        <w:rPr>
          <w:rFonts w:hint="eastAsia" w:ascii="仿宋" w:hAnsi="仿宋" w:eastAsia="仿宋"/>
          <w:sz w:val="32"/>
          <w:szCs w:val="32"/>
        </w:rPr>
      </w:pPr>
      <w:r>
        <w:rPr>
          <w:rFonts w:hint="eastAsia" w:ascii="仿宋" w:hAnsi="仿宋" w:eastAsia="仿宋"/>
          <w:sz w:val="32"/>
          <w:szCs w:val="32"/>
        </w:rPr>
        <w:t>该批稻谷之上未设定任何他物权等财产负担，且未有任何第三人对该批稻谷提出任何权利主张，不存在权利瑕疵。</w:t>
      </w:r>
    </w:p>
    <w:p w14:paraId="4599CF76">
      <w:pPr>
        <w:ind w:firstLine="640" w:firstLineChars="200"/>
        <w:rPr>
          <w:rFonts w:hint="eastAsia" w:ascii="仿宋" w:hAnsi="仿宋" w:eastAsia="仿宋"/>
          <w:sz w:val="32"/>
          <w:szCs w:val="32"/>
        </w:rPr>
      </w:pPr>
      <w:r>
        <w:rPr>
          <w:rFonts w:hint="eastAsia" w:ascii="仿宋" w:hAnsi="仿宋" w:eastAsia="仿宋"/>
          <w:sz w:val="32"/>
          <w:szCs w:val="32"/>
        </w:rPr>
        <w:t>二、销售给贵公司的稻谷来源渠道合法正规，不混杂其</w:t>
      </w:r>
    </w:p>
    <w:p w14:paraId="41486B2D">
      <w:pPr>
        <w:rPr>
          <w:rFonts w:hint="eastAsia" w:ascii="仿宋" w:hAnsi="仿宋" w:eastAsia="仿宋"/>
          <w:sz w:val="32"/>
          <w:szCs w:val="32"/>
        </w:rPr>
      </w:pPr>
      <w:r>
        <w:rPr>
          <w:rFonts w:hint="eastAsia" w:ascii="仿宋" w:hAnsi="仿宋" w:eastAsia="仿宋"/>
          <w:sz w:val="32"/>
          <w:szCs w:val="32"/>
        </w:rPr>
        <w:t>他生产年份的稻谷，不存在“以陈顶新”,“转圈粮”等违法违规行为，稻谷质量符合合同约定标准。</w:t>
      </w:r>
    </w:p>
    <w:p w14:paraId="46872945">
      <w:pPr>
        <w:ind w:firstLine="640" w:firstLineChars="200"/>
        <w:rPr>
          <w:rFonts w:hint="eastAsia" w:ascii="仿宋" w:hAnsi="仿宋" w:eastAsia="仿宋"/>
          <w:sz w:val="32"/>
          <w:szCs w:val="32"/>
        </w:rPr>
      </w:pPr>
      <w:r>
        <w:rPr>
          <w:rFonts w:hint="eastAsia" w:ascii="仿宋" w:hAnsi="仿宋" w:eastAsia="仿宋"/>
          <w:sz w:val="32"/>
          <w:szCs w:val="32"/>
        </w:rPr>
        <w:t>三、如有违反，我单位愿承担违约和相关法律责任。</w:t>
      </w:r>
    </w:p>
    <w:p w14:paraId="5FD0535B">
      <w:pPr>
        <w:ind w:firstLine="640" w:firstLineChars="200"/>
        <w:rPr>
          <w:rFonts w:hint="eastAsia" w:ascii="仿宋" w:hAnsi="仿宋" w:eastAsia="仿宋"/>
          <w:sz w:val="32"/>
          <w:szCs w:val="32"/>
        </w:rPr>
      </w:pPr>
      <w:r>
        <w:rPr>
          <w:rFonts w:hint="eastAsia" w:ascii="仿宋" w:hAnsi="仿宋" w:eastAsia="仿宋"/>
          <w:sz w:val="32"/>
          <w:szCs w:val="32"/>
        </w:rPr>
        <w:t>特此承诺</w:t>
      </w:r>
    </w:p>
    <w:p w14:paraId="6C10F959">
      <w:pPr>
        <w:rPr>
          <w:rFonts w:ascii="仿宋" w:hAnsi="仿宋" w:eastAsia="仿宋"/>
          <w:sz w:val="32"/>
          <w:szCs w:val="32"/>
        </w:rPr>
      </w:pPr>
    </w:p>
    <w:p w14:paraId="7C96C2B8">
      <w:pPr>
        <w:ind w:left="0" w:leftChars="0" w:right="1280" w:firstLine="3360" w:firstLineChars="1050"/>
        <w:jc w:val="left"/>
        <w:rPr>
          <w:rFonts w:hint="eastAsia" w:ascii="仿宋" w:hAnsi="仿宋" w:eastAsia="仿宋"/>
          <w:sz w:val="32"/>
          <w:szCs w:val="32"/>
          <w:lang w:val="en-US" w:eastAsia="zh-CN"/>
        </w:rPr>
      </w:pPr>
      <w:r>
        <w:rPr>
          <w:rFonts w:hint="eastAsia" w:ascii="仿宋" w:hAnsi="仿宋" w:eastAsia="仿宋"/>
          <w:sz w:val="32"/>
          <w:szCs w:val="32"/>
          <w:lang w:val="en-US" w:eastAsia="zh-CN"/>
        </w:rPr>
        <w:t>单位名称：</w:t>
      </w:r>
    </w:p>
    <w:p w14:paraId="6F3BD6BB">
      <w:pPr>
        <w:ind w:left="0" w:leftChars="0" w:right="1280" w:firstLine="3360" w:firstLineChars="1050"/>
        <w:jc w:val="left"/>
        <w:rPr>
          <w:rFonts w:hint="eastAsia" w:ascii="仿宋" w:hAnsi="仿宋" w:eastAsia="仿宋"/>
          <w:color w:val="auto"/>
          <w:sz w:val="32"/>
          <w:szCs w:val="32"/>
          <w:lang w:val="en-US" w:eastAsia="zh-CN"/>
        </w:rPr>
      </w:pPr>
      <w:r>
        <w:rPr>
          <w:rFonts w:hint="eastAsia" w:ascii="文星仿宋" w:hAnsi="文星仿宋" w:eastAsia="文星仿宋" w:cs="文星仿宋"/>
          <w:color w:val="auto"/>
          <w:sz w:val="32"/>
          <w:szCs w:val="32"/>
          <w:highlight w:val="none"/>
        </w:rPr>
        <w:t>统一社会信用代码：</w:t>
      </w:r>
    </w:p>
    <w:p w14:paraId="251DBCE4">
      <w:pPr>
        <w:ind w:left="0" w:leftChars="0" w:right="1280" w:firstLine="3360" w:firstLineChars="1050"/>
        <w:jc w:val="left"/>
        <w:rPr>
          <w:rFonts w:hint="eastAsia" w:ascii="仿宋" w:hAnsi="仿宋" w:eastAsia="仿宋"/>
          <w:color w:val="auto"/>
          <w:sz w:val="32"/>
          <w:szCs w:val="32"/>
        </w:rPr>
      </w:pPr>
      <w:r>
        <w:rPr>
          <w:rFonts w:hint="eastAsia" w:ascii="仿宋" w:hAnsi="仿宋" w:eastAsia="仿宋"/>
          <w:color w:val="auto"/>
          <w:sz w:val="32"/>
          <w:szCs w:val="32"/>
        </w:rPr>
        <w:t>法人代表签</w:t>
      </w:r>
      <w:r>
        <w:rPr>
          <w:rFonts w:hint="eastAsia" w:ascii="仿宋" w:hAnsi="仿宋" w:eastAsia="仿宋"/>
          <w:color w:val="auto"/>
          <w:sz w:val="32"/>
          <w:szCs w:val="32"/>
          <w:lang w:val="en-US" w:eastAsia="zh-CN"/>
        </w:rPr>
        <w:t>名</w:t>
      </w:r>
      <w:r>
        <w:rPr>
          <w:rFonts w:hint="eastAsia" w:ascii="仿宋" w:hAnsi="仿宋" w:eastAsia="仿宋"/>
          <w:color w:val="auto"/>
          <w:sz w:val="32"/>
          <w:szCs w:val="32"/>
        </w:rPr>
        <w:t>:</w:t>
      </w:r>
    </w:p>
    <w:p w14:paraId="3740DC23">
      <w:pPr>
        <w:ind w:right="640"/>
        <w:jc w:val="center"/>
        <w:rPr>
          <w:rFonts w:hint="eastAsia" w:ascii="仿宋" w:hAnsi="仿宋" w:eastAsia="仿宋"/>
          <w:sz w:val="32"/>
          <w:szCs w:val="32"/>
        </w:rPr>
        <w:sectPr>
          <w:pgSz w:w="11906" w:h="16838"/>
          <w:pgMar w:top="1304" w:right="1469" w:bottom="1247" w:left="1797" w:header="851" w:footer="992" w:gutter="0"/>
          <w:pgNumType w:fmt="decimal"/>
          <w:cols w:space="720" w:num="1"/>
          <w:docGrid w:type="lines" w:linePitch="312" w:charSpace="0"/>
        </w:sectPr>
      </w:pPr>
      <w:r>
        <w:rPr>
          <w:rFonts w:hint="eastAsia" w:ascii="仿宋" w:hAnsi="仿宋" w:eastAsia="仿宋"/>
          <w:sz w:val="32"/>
          <w:szCs w:val="32"/>
          <w:lang w:val="en-US" w:eastAsia="zh-CN"/>
        </w:rPr>
        <w:t xml:space="preserve">           2026</w:t>
      </w:r>
      <w:r>
        <w:rPr>
          <w:rFonts w:hint="eastAsia" w:ascii="仿宋" w:hAnsi="仿宋" w:eastAsia="仿宋"/>
          <w:sz w:val="32"/>
          <w:szCs w:val="32"/>
        </w:rPr>
        <w:t>年XX月XX日</w:t>
      </w:r>
    </w:p>
    <w:p w14:paraId="263B4F54">
      <w:pPr>
        <w:jc w:val="center"/>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丰顺县县级政府储备粮（稻谷）</w:t>
      </w:r>
    </w:p>
    <w:p w14:paraId="3E1AF196">
      <w:pPr>
        <w:jc w:val="center"/>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静态代储包干轮换协议</w:t>
      </w:r>
    </w:p>
    <w:p w14:paraId="3E23ADAA">
      <w:pPr>
        <w:rPr>
          <w:rFonts w:hint="eastAsia"/>
          <w:sz w:val="32"/>
          <w:szCs w:val="40"/>
          <w:lang w:val="en-US" w:eastAsia="zh-CN"/>
        </w:rPr>
      </w:pPr>
    </w:p>
    <w:p w14:paraId="5A095F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协议编号：2026</w:t>
      </w:r>
      <w:r>
        <w:rPr>
          <w:rFonts w:hint="eastAsia" w:ascii="宋体" w:hAnsi="宋体" w:eastAsia="宋体" w:cs="宋体"/>
          <w:sz w:val="32"/>
          <w:szCs w:val="32"/>
          <w:lang w:val="en-US" w:eastAsia="zh-CN"/>
        </w:rPr>
        <w:t>XXXXX</w:t>
      </w:r>
    </w:p>
    <w:p w14:paraId="19F0A9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甲方（委托方）：丰顺县粮食收储有限公司</w:t>
      </w:r>
    </w:p>
    <w:p w14:paraId="569E66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统一社会信用代码：91441423196473896W</w:t>
      </w:r>
    </w:p>
    <w:p w14:paraId="67A34E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地址：丰顺县汤坑镇新世纪庄园路 91 号</w:t>
      </w:r>
    </w:p>
    <w:p w14:paraId="18C51B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联系电话：</w:t>
      </w:r>
    </w:p>
    <w:p w14:paraId="582F4F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464934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乙方（代储方）：</w:t>
      </w:r>
    </w:p>
    <w:p w14:paraId="0C862D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统一社会信用代码：</w:t>
      </w:r>
    </w:p>
    <w:p w14:paraId="0A77C1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地址：</w:t>
      </w:r>
    </w:p>
    <w:p w14:paraId="46A3D1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联系电话：</w:t>
      </w:r>
    </w:p>
    <w:p w14:paraId="22F0D3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p>
    <w:p w14:paraId="1DE190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为进一步加强和规范县级储备粮管理，优化储备结构，提高财政资金使用效率。依据《粮食流通管理条例》《广东省粮食安全保障条例》《丰顺县县级储备粮管理办法》等各项法律法规，结合本县实际，为明确甲乙双方的权利、责任和义务，按照平等自愿、权责清晰、公平公正的原则订立本协议，共同遵照执行。</w:t>
      </w:r>
    </w:p>
    <w:p w14:paraId="632E64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一、代储储备粮的基本信息</w:t>
      </w:r>
    </w:p>
    <w:p w14:paraId="596F8B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 代储品种：三级籼稻</w:t>
      </w:r>
    </w:p>
    <w:p w14:paraId="4F25A9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 代储数量：8100吨</w:t>
      </w:r>
    </w:p>
    <w:p w14:paraId="0C3DDF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宋体" w:hAnsi="宋体" w:eastAsia="宋体" w:cs="宋体"/>
          <w:sz w:val="32"/>
          <w:szCs w:val="32"/>
          <w:lang w:val="en-US" w:eastAsia="zh-CN"/>
        </w:rPr>
      </w:pPr>
      <w:r>
        <w:rPr>
          <w:rFonts w:hint="eastAsia" w:ascii="Times New Roman" w:hAnsi="Times New Roman" w:eastAsia="仿宋_GB2312" w:cs="Times New Roman"/>
          <w:sz w:val="32"/>
          <w:szCs w:val="32"/>
          <w:lang w:val="en-US" w:eastAsia="zh-CN"/>
        </w:rPr>
        <w:t>3. 代储地点：</w:t>
      </w:r>
      <w:r>
        <w:rPr>
          <w:rFonts w:hint="eastAsia" w:ascii="宋体" w:hAnsi="宋体" w:eastAsia="宋体" w:cs="宋体"/>
          <w:sz w:val="32"/>
          <w:szCs w:val="32"/>
          <w:lang w:val="en-US" w:eastAsia="zh-CN"/>
        </w:rPr>
        <w:t>XXXXXXX</w:t>
      </w:r>
    </w:p>
    <w:p w14:paraId="54FFFF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 代储期限自粮食验收确权合格并经书面确认之日起计算，</w:t>
      </w:r>
      <w:r>
        <w:rPr>
          <w:rFonts w:hint="eastAsia" w:ascii="宋体" w:hAnsi="宋体" w:eastAsia="宋体" w:cs="宋体"/>
          <w:sz w:val="32"/>
          <w:szCs w:val="32"/>
          <w:lang w:val="en-US" w:eastAsia="zh-CN"/>
        </w:rPr>
        <w:t>XXXX</w:t>
      </w:r>
      <w:r>
        <w:rPr>
          <w:rFonts w:hint="eastAsia" w:ascii="Times New Roman" w:hAnsi="Times New Roman" w:eastAsia="仿宋_GB2312" w:cs="Times New Roman"/>
          <w:sz w:val="32"/>
          <w:szCs w:val="32"/>
          <w:lang w:val="en-US" w:eastAsia="zh-CN"/>
        </w:rPr>
        <w:t>年</w:t>
      </w:r>
      <w:r>
        <w:rPr>
          <w:rFonts w:hint="eastAsia" w:ascii="宋体" w:hAnsi="宋体" w:eastAsia="宋体" w:cs="宋体"/>
          <w:sz w:val="32"/>
          <w:szCs w:val="32"/>
          <w:lang w:val="en-US" w:eastAsia="zh-CN"/>
        </w:rPr>
        <w:t>XX</w:t>
      </w:r>
      <w:r>
        <w:rPr>
          <w:rFonts w:hint="eastAsia" w:ascii="Times New Roman" w:hAnsi="Times New Roman" w:eastAsia="仿宋_GB2312" w:cs="Times New Roman"/>
          <w:sz w:val="32"/>
          <w:szCs w:val="32"/>
          <w:lang w:val="en-US" w:eastAsia="zh-CN"/>
        </w:rPr>
        <w:t>月</w:t>
      </w:r>
      <w:r>
        <w:rPr>
          <w:rFonts w:hint="eastAsia" w:ascii="宋体" w:hAnsi="宋体" w:eastAsia="宋体" w:cs="宋体"/>
          <w:sz w:val="32"/>
          <w:szCs w:val="32"/>
          <w:lang w:val="en-US" w:eastAsia="zh-CN"/>
        </w:rPr>
        <w:t>XX</w:t>
      </w:r>
      <w:r>
        <w:rPr>
          <w:rFonts w:hint="eastAsia" w:ascii="Times New Roman" w:hAnsi="Times New Roman" w:eastAsia="仿宋_GB2312" w:cs="Times New Roman"/>
          <w:sz w:val="32"/>
          <w:szCs w:val="32"/>
          <w:lang w:val="en-US" w:eastAsia="zh-CN"/>
        </w:rPr>
        <w:t>日至</w:t>
      </w:r>
      <w:r>
        <w:rPr>
          <w:rFonts w:hint="eastAsia" w:ascii="宋体" w:hAnsi="宋体" w:eastAsia="宋体" w:cs="宋体"/>
          <w:sz w:val="32"/>
          <w:szCs w:val="32"/>
          <w:lang w:val="en-US" w:eastAsia="zh-CN"/>
        </w:rPr>
        <w:t>XXXX</w:t>
      </w:r>
      <w:r>
        <w:rPr>
          <w:rFonts w:hint="eastAsia" w:ascii="Times New Roman" w:hAnsi="Times New Roman" w:eastAsia="仿宋_GB2312" w:cs="Times New Roman"/>
          <w:sz w:val="32"/>
          <w:szCs w:val="32"/>
          <w:lang w:val="en-US" w:eastAsia="zh-CN"/>
        </w:rPr>
        <w:t>年</w:t>
      </w:r>
      <w:r>
        <w:rPr>
          <w:rFonts w:hint="eastAsia" w:ascii="宋体" w:hAnsi="宋体" w:eastAsia="宋体" w:cs="宋体"/>
          <w:sz w:val="32"/>
          <w:szCs w:val="32"/>
          <w:lang w:val="en-US" w:eastAsia="zh-CN"/>
        </w:rPr>
        <w:t>XX</w:t>
      </w:r>
      <w:r>
        <w:rPr>
          <w:rFonts w:hint="eastAsia" w:ascii="Times New Roman" w:hAnsi="Times New Roman" w:eastAsia="仿宋_GB2312" w:cs="Times New Roman"/>
          <w:sz w:val="32"/>
          <w:szCs w:val="32"/>
          <w:lang w:val="en-US" w:eastAsia="zh-CN"/>
        </w:rPr>
        <w:t>月</w:t>
      </w:r>
      <w:r>
        <w:rPr>
          <w:rFonts w:hint="eastAsia" w:ascii="宋体" w:hAnsi="宋体" w:eastAsia="宋体" w:cs="宋体"/>
          <w:sz w:val="32"/>
          <w:szCs w:val="32"/>
          <w:lang w:val="en-US" w:eastAsia="zh-CN"/>
        </w:rPr>
        <w:t>XX</w:t>
      </w:r>
      <w:r>
        <w:rPr>
          <w:rFonts w:hint="eastAsia" w:ascii="Times New Roman" w:hAnsi="Times New Roman" w:eastAsia="仿宋_GB2312" w:cs="Times New Roman"/>
          <w:sz w:val="32"/>
          <w:szCs w:val="32"/>
          <w:lang w:val="en-US" w:eastAsia="zh-CN"/>
        </w:rPr>
        <w:t>日止，为期叁年。代储到期后，若粮食尚未完成出库，代储费按日延长时间计算；如因甲方提前轮换，代储费则按日计算至粮食出库完成之日止。</w:t>
      </w:r>
    </w:p>
    <w:p w14:paraId="10663C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 代储性质：静态储备，丰顺县县级储备粮。</w:t>
      </w:r>
    </w:p>
    <w:p w14:paraId="686E22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二、代储方式、采购组织与资金安排</w:t>
      </w:r>
    </w:p>
    <w:p w14:paraId="61B092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 乙方负责组织符合本协议第四条约定质量标准的8100吨储备粮稻谷货源采购、运输、入库、整理等全部工作，采购完成后须经甲方委托的有资质检验机构验收合格后方可确权入库。</w:t>
      </w:r>
    </w:p>
    <w:p w14:paraId="4EE417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 本批储备粮稻谷采购价格为</w:t>
      </w:r>
      <w:r>
        <w:rPr>
          <w:rFonts w:hint="eastAsia" w:ascii="宋体" w:hAnsi="宋体" w:eastAsia="宋体" w:cs="宋体"/>
          <w:sz w:val="32"/>
          <w:szCs w:val="32"/>
          <w:lang w:val="en-US" w:eastAsia="zh-CN"/>
        </w:rPr>
        <w:t>XXXX</w:t>
      </w:r>
      <w:r>
        <w:rPr>
          <w:rFonts w:hint="eastAsia" w:ascii="Times New Roman" w:hAnsi="Times New Roman" w:eastAsia="仿宋_GB2312" w:cs="Times New Roman"/>
          <w:sz w:val="32"/>
          <w:szCs w:val="32"/>
          <w:lang w:val="en-US" w:eastAsia="zh-CN"/>
        </w:rPr>
        <w:t>元/吨，采购所需货款由甲方负责向中国农业发展银行丰顺县支行申请政策性贷款，用于本批次8100吨稻谷的采购，贷款产生的利息由甲方承担。</w:t>
      </w:r>
    </w:p>
    <w:p w14:paraId="0BA9A5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 本批储备粮实行静态代储包干轮换模式，包干总费用为</w:t>
      </w:r>
      <w:r>
        <w:rPr>
          <w:rFonts w:hint="eastAsia" w:ascii="宋体" w:hAnsi="宋体" w:eastAsia="宋体" w:cs="宋体"/>
          <w:sz w:val="32"/>
          <w:szCs w:val="32"/>
          <w:lang w:val="en-US" w:eastAsia="zh-CN"/>
        </w:rPr>
        <w:t>XXX</w:t>
      </w:r>
      <w:r>
        <w:rPr>
          <w:rFonts w:hint="eastAsia" w:ascii="Times New Roman" w:hAnsi="Times New Roman" w:eastAsia="仿宋_GB2312" w:cs="Times New Roman"/>
          <w:sz w:val="32"/>
          <w:szCs w:val="32"/>
          <w:lang w:val="en-US" w:eastAsia="zh-CN"/>
        </w:rPr>
        <w:t>元/吨</w:t>
      </w:r>
      <w:r>
        <w:rPr>
          <w:rFonts w:hint="eastAsia" w:ascii="宋体" w:hAnsi="宋体" w:eastAsia="宋体" w:cs="宋体"/>
          <w:sz w:val="32"/>
          <w:szCs w:val="32"/>
          <w:lang w:val="en-US" w:eastAsia="zh-CN"/>
        </w:rPr>
        <w:t>·</w:t>
      </w:r>
      <w:r>
        <w:rPr>
          <w:rFonts w:hint="eastAsia" w:ascii="Times New Roman" w:hAnsi="Times New Roman" w:eastAsia="仿宋_GB2312" w:cs="Times New Roman"/>
          <w:sz w:val="32"/>
          <w:szCs w:val="32"/>
          <w:lang w:val="en-US" w:eastAsia="zh-CN"/>
        </w:rPr>
        <w:t>年，包含粮食管理费、仓储设施使用费、日常管护费、熏蒸通风费、检验检测费（含入库、储存期间、出库）、正常轮换产生的价差损益费、出入库装卸费、短途运输费、整理费、损耗费、税费、保险费等所有与本批次储备粮代储、轮换相关的全部费用。因乙方违规操作、管理不善、未按规范作业产生的额外费用均由乙方自行承担，甲方不予支付。除本协议明确约定外，甲方不再另行支付其他任何费用。</w:t>
      </w:r>
    </w:p>
    <w:p w14:paraId="5F30C6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三、履约保证金</w:t>
      </w:r>
    </w:p>
    <w:p w14:paraId="6B6A17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 乙方应当在本协议签订后10日内向甲方足额缴纳履约保证金，保证金标准为本协议三年包干总金额的10%。逾期未足额缴纳的，甲方有权暂缓支付采购货款、中止本协议履行且不承担违约责任。</w:t>
      </w:r>
    </w:p>
    <w:p w14:paraId="14791A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 保证金缴纳账户：</w:t>
      </w:r>
    </w:p>
    <w:p w14:paraId="547A30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账户名：丰顺县粮食收储有限公司</w:t>
      </w:r>
    </w:p>
    <w:p w14:paraId="3FD5E8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开户行：中国农业发展银行丰顺县支行</w:t>
      </w:r>
    </w:p>
    <w:p w14:paraId="7B8A27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账号：20344142300100000001871</w:t>
      </w:r>
    </w:p>
    <w:p w14:paraId="44D8B8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代储期限届满，乙方全面履行本协议约定义务，无违约、无粮食安全事故、无遗留问题，完成全部交接清算手续，且储备粮出库后质量检验合格并满60日无质量异议的，甲方应及时组织验收并书面确认乙方不存在违约或遗留问题后，在30日内无息全额退还保证金。</w:t>
      </w:r>
    </w:p>
    <w:p w14:paraId="3C8584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乙方发生违约、造成储备粮损失、产生赔偿金、违约金的，甲方有权直接从履约保证金中抵扣，不足部分甲方有权继续向乙方追偿。</w:t>
      </w:r>
    </w:p>
    <w:p w14:paraId="3C7F7D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四、粮食质量要求</w:t>
      </w:r>
    </w:p>
    <w:p w14:paraId="2761D5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 乙方组织采购的8100吨稻谷应为2026年度生产的新粮，不得掺杂陈粮、超标粮或其他不符合约定的粮食，各项常规质量指标符合国家标准中等及以上标准，储存品质指标符合宜存标准，食品安全指标符合食品安全国家标准限量规定。国家另有规定的，从其规定。</w:t>
      </w:r>
    </w:p>
    <w:p w14:paraId="461A55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 粮食入库平仓后应进行验收检验，验收检验应包括常规质量指标：色泽气味、出糙率、整精米率、杂质含量、水分含量、黄粒米含量、谷外糙米含量；储存品质指标：色泽气味、脂肪酸值、品尝评分值；食品安全指标：镉、黄曲霉毒素B1。验收检验合格的，方可作为政府储备粮。验收检验不合格的，乙方应当在甲方指定期限内更换为符合质量标准的粮食，因此产生的所有费用、损失均由乙方自行承担；逾期未更换的，甲方有权解除本协议并没收履约保证金。</w:t>
      </w:r>
    </w:p>
    <w:p w14:paraId="07DD1C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验收检验应遵循客观、公正、科学、合理原则，委托有资质的粮食检验机构承担。</w:t>
      </w:r>
    </w:p>
    <w:p w14:paraId="75D201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储存期间代储企业应严格执行质量管控相关规定，定期开展常规质量指示和储存品质指标检验，根据实际情况开展食品安全指标检验，每年开展逐货位检验不少于2次。</w:t>
      </w:r>
    </w:p>
    <w:p w14:paraId="30CD1C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出库检验应按规定委托有资质的粮食检验机构，检验结果作为出库质量依据。未经质量安全检验的粮食不得销售出库。</w:t>
      </w:r>
    </w:p>
    <w:p w14:paraId="1AAAB0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粮食入库后，应按规定及时建立质量安全档案。按时间顺序如实准确记录入库检验、自检、出库检验结果，完整保存检验报告、原始记录的原件。</w:t>
      </w:r>
    </w:p>
    <w:p w14:paraId="083028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五、储备粮权属</w:t>
      </w:r>
    </w:p>
    <w:p w14:paraId="30405F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代储的8100吨储备粮所有权归丰顺县人民政府所有。</w:t>
      </w:r>
    </w:p>
    <w:p w14:paraId="11A2EF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乙方仅享有协议约定范围内仓储保管权，未经甲方加盖公章的书面正式批复同意，乙方不得擅自销售、抵押、质押、出租、出借、动用、置换储备稻谷，不得对储备粮设置任何权利负担，也不得委托第三方代为保管、处置储备粮。</w:t>
      </w:r>
    </w:p>
    <w:p w14:paraId="73247D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任何第三方对储备粮主张权利的，乙方应当第一时间通知甲方，并负责举证说明权属，防范司法查封、冻结风险；因乙方原因导致储备粮被查封、扣押、处置的、全部损失由乙方承担。</w:t>
      </w:r>
    </w:p>
    <w:p w14:paraId="491DC5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本批储备粮应当自代储期限起算之日起在两年内全部转移至丰顺县区域内经甲方事先书面认可的合格仓库（乙方自有、租赁的仓库）储存。转移前，乙方应当向甲方提交移仓方案、运输保障措施及拟入库仓库资质证明，经甲方书面同意后方可实施移仓。移仓过程中的全部风险及费用由乙方承担。乙方未按期完成转移的，每逾期一日，应按包干总费用的万分之五向甲方支付违约金；逾期超过六十日的，甲方有权单方解除协议，并要求乙方承担因此造成的全部损失。</w:t>
      </w:r>
    </w:p>
    <w:p w14:paraId="4BFE59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六、代储管理要求</w:t>
      </w:r>
    </w:p>
    <w:p w14:paraId="35CA3F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乙方负责丰顺县县级储备粮代储包干轮换管理，必须严格遵守国家法律法规及粮食政策，执行相关法律、法规、条例及规范的规定，对丰顺县县级储备粮的安全承担全部责任。</w:t>
      </w:r>
    </w:p>
    <w:p w14:paraId="03D147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乙方应规范日常管理，科学保粮，建立完善的账务管理制度、储备粮管理制度及仓储管理制度，确保及时、准确报送各类统计和粮情报表，并保证粮库信息系统符合《粮食购销领域监管信息化规范》的要求，满足全链条业务数据在线的监管要求，实现与省粮食和物资储备信息管理平台的互联互通。</w:t>
      </w:r>
    </w:p>
    <w:p w14:paraId="75205C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乙方在代储包干储存期间，负责储备粮的保管、质量、智能化管理、迎检等工作。</w:t>
      </w:r>
    </w:p>
    <w:p w14:paraId="7537E3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乙方必须将本批8100吨储备粮实行专仓储存、专人保管、专账记载，在专仓外显著位置悬挂政府储备粮专用标识，在仓内配备信息卡，做到账实相符、账账相符。</w:t>
      </w:r>
    </w:p>
    <w:p w14:paraId="32E71D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严格执行粮食仓储技术规范，要认真执行粮情检查制度，每周对粮情进行全面检查，做好记录，每半个月形成粮情报告，每月对粮情进行全面检查，形成粮情分析报告。</w:t>
      </w:r>
    </w:p>
    <w:p w14:paraId="0B1713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静态储备粮如需轮换，轮换批次、数量、时间及方案必须取得甲方加盖公章的书面轮换批复后方可实施，乙方必须严格按照甲方批复的方案开展轮换。轮换完成后3个工作日内，乙方应将新入库粮食的数量、检验合格证明、检验报告及入库凭证提交甲方审核确认；经甲方确认符合本协议第四条约定的储备粮数量和质量标准后，方可计入有效库存。轮换产生的价差盈亏统一纳入本协议包干范围，收益归乙方所有，损失由乙方自行承担。未经甲方书面批复擅自轮换、动库的，视为严重违约，甲方有权单方解除协议、没收履约保证金，并要求乙方按照擅自轮换粮食价值的30%支付违约金。</w:t>
      </w:r>
    </w:p>
    <w:p w14:paraId="7BAA6D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七、货款支付及代储包干费用结算</w:t>
      </w:r>
    </w:p>
    <w:p w14:paraId="3DE5506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楷体_GB2312" w:cs="Times New Roman"/>
          <w:b/>
          <w:bCs/>
          <w:sz w:val="32"/>
          <w:szCs w:val="32"/>
          <w:lang w:val="en-US" w:eastAsia="zh-CN"/>
        </w:rPr>
      </w:pPr>
      <w:r>
        <w:rPr>
          <w:rFonts w:hint="eastAsia" w:ascii="Times New Roman" w:hAnsi="Times New Roman" w:eastAsia="楷体_GB2312" w:cs="Times New Roman"/>
          <w:b/>
          <w:bCs/>
          <w:sz w:val="32"/>
          <w:szCs w:val="32"/>
          <w:lang w:val="en-US" w:eastAsia="zh-CN"/>
        </w:rPr>
        <w:t>（一） 采购货款支付</w:t>
      </w:r>
    </w:p>
    <w:p w14:paraId="745289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 乙方组织8100吨稻谷采购入库完成后，须提交甲方委托的有资质粮食检验机构出具的合格检验报告、经甲方现场监盘确认的入库单、逐车过磅单、货源产地证明提交甲方审核，所有资料经甲方核实无误后方可进入付款流程。</w:t>
      </w:r>
    </w:p>
    <w:p w14:paraId="6A7D56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 甲方审核无误后，按照农发行贷款管理规定，通过农发行信贷资金渠道支付稻谷采购货款。</w:t>
      </w:r>
    </w:p>
    <w:p w14:paraId="3BD400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 采购货款仅用于稻谷采购，专款专用，乙方不得截留、挪用。</w:t>
      </w:r>
    </w:p>
    <w:p w14:paraId="619B261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楷体_GB2312" w:cs="Times New Roman"/>
          <w:b/>
          <w:bCs/>
          <w:sz w:val="32"/>
          <w:szCs w:val="32"/>
          <w:lang w:val="en-US" w:eastAsia="zh-CN"/>
        </w:rPr>
      </w:pPr>
      <w:r>
        <w:rPr>
          <w:rFonts w:hint="eastAsia" w:ascii="Times New Roman" w:hAnsi="Times New Roman" w:eastAsia="楷体_GB2312" w:cs="Times New Roman"/>
          <w:b/>
          <w:bCs/>
          <w:sz w:val="32"/>
          <w:szCs w:val="32"/>
          <w:lang w:val="en-US" w:eastAsia="zh-CN"/>
        </w:rPr>
        <w:t>（二）代储包干轮换费用结算</w:t>
      </w:r>
    </w:p>
    <w:p w14:paraId="247EB4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 代储包干轮换费标准：</w:t>
      </w:r>
      <w:r>
        <w:rPr>
          <w:rFonts w:hint="eastAsia" w:ascii="宋体" w:hAnsi="宋体" w:eastAsia="宋体" w:cs="宋体"/>
          <w:sz w:val="32"/>
          <w:szCs w:val="32"/>
          <w:lang w:val="en-US" w:eastAsia="zh-CN"/>
        </w:rPr>
        <w:t>XXX</w:t>
      </w:r>
      <w:r>
        <w:rPr>
          <w:rFonts w:hint="eastAsia" w:ascii="Times New Roman" w:hAnsi="Times New Roman" w:eastAsia="仿宋_GB2312" w:cs="Times New Roman"/>
          <w:sz w:val="32"/>
          <w:szCs w:val="32"/>
          <w:lang w:val="en-US" w:eastAsia="zh-CN"/>
        </w:rPr>
        <w:t>元/吨•年</w:t>
      </w:r>
    </w:p>
    <w:p w14:paraId="08669F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 每半年期满后，乙方应提交当期粮情检验报告、粮情分析报告、库存盘点表、合规履约承诺函及等额有效税票。经甲方核查确认当期储备粮数量真实、符合约定，质量合格且乙方不存在未整改的违约行为后，甲方应在15个工作日内支付当期代储包干轮换费。经核查发现乙方存在履约问题的，甲方有权暂停支付相关费用，直至乙方整改合格；甲方有权从应付费用中直接扣除乙方应承担的损失金额后支付剩余款项。</w:t>
      </w:r>
    </w:p>
    <w:p w14:paraId="6114D5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 乙方指定收款账户（中国农业发展银行丰顺县支行开户）</w:t>
      </w:r>
    </w:p>
    <w:p w14:paraId="0A9706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账户名：</w:t>
      </w:r>
    </w:p>
    <w:p w14:paraId="42C1E4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开户行：中国农业发展银行丰顺县支行</w:t>
      </w:r>
    </w:p>
    <w:p w14:paraId="3A38A3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账  号：</w:t>
      </w:r>
    </w:p>
    <w:p w14:paraId="2B2E49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乙方应开立县级储备粮代储业务专用账户（以下简称专户），专门用于本协议项下县级储备粮代储相关业务核算。专户资金应接受甲方及相关监管部门的监管，甲方有权查询专户资金收支及流向，乙方应及时、完整、真实地提供相关账户信息及交易记录，并配合甲方及相关监管部门实施监督检查。</w:t>
      </w:r>
    </w:p>
    <w:p w14:paraId="0591FA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八、代储包干轮换期满后的处理方式</w:t>
      </w:r>
    </w:p>
    <w:p w14:paraId="712B1C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代储期限届满前三个月内，甲方应根据丰顺县人民政府或其授权职能部门的指令对本标的作出处理，具体处理方式由甲方发文另行确定，乙方必须无条件配合甲方对标的的处理方式。</w:t>
      </w:r>
    </w:p>
    <w:p w14:paraId="203925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九、甲方义务</w:t>
      </w:r>
    </w:p>
    <w:p w14:paraId="7A6763EF">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甲方依法履行县级储备粮行政管理职责，按协议向乙方支付费用。</w:t>
      </w:r>
    </w:p>
    <w:p w14:paraId="5677E4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 甲方按照协议约定及时审核结算资料，按期支付符合条件的代储包干轮换费。</w:t>
      </w:r>
    </w:p>
    <w:p w14:paraId="3C2265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 甲方应指导乙方开展储备粮管理各项工作，提供地方储备粮管理相关政策文件。</w:t>
      </w:r>
    </w:p>
    <w:p w14:paraId="3EDBDF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 甲方有权对代储的储备粮的数量、质量、储存情况进行监管，监管以实地检查为主，远程监控为辅，对检查发现问题应及时向乙方反馈检查发现问题。</w:t>
      </w:r>
    </w:p>
    <w:p w14:paraId="43F99C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 甲方应协调好各相关职能部门的监督检查。</w:t>
      </w:r>
    </w:p>
    <w:p w14:paraId="11E55F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十、乙方义务</w:t>
      </w:r>
    </w:p>
    <w:p w14:paraId="53B20F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 乙方在约定时限内完成8100吨符合标准的稻谷采购入库。</w:t>
      </w:r>
    </w:p>
    <w:p w14:paraId="739380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 乙方严格按照《粮油储藏技术规范》《粮油仓储管理办法》《丰顺县县级储备粮管理办法》等开展仓储保管、保证储备粮数量真实、质量良好、储存安全。</w:t>
      </w:r>
    </w:p>
    <w:p w14:paraId="30AEE5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 乙方应建立完善仓储台账、粮情检查记录、粮食质量档案等，接受甲方及相关部门监督检查。</w:t>
      </w:r>
    </w:p>
    <w:p w14:paraId="2805A1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 乙方应落实资金专款专用要求。</w:t>
      </w:r>
    </w:p>
    <w:p w14:paraId="634B20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 乙方熏蒸作业必须严格按规定做好熏蒸计划、熏蒸审批、熏蒸方案和属地熏蒸报备及向甲方报备。</w:t>
      </w:r>
    </w:p>
    <w:p w14:paraId="0E6C07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 乙方进行移仓或转仓等重大仓储作业，应提前书面向甲方报备，根据甲方出具书面同意后实施。</w:t>
      </w:r>
    </w:p>
    <w:p w14:paraId="10637B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 乙方在储备粮出现粮情异常、安全隐患、库存风险、第三方查封等突发事件，24小时内书面通知甲方，并第一时间采取应急处置措施。</w:t>
      </w:r>
    </w:p>
    <w:p w14:paraId="7E966773">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乙方在承担储备粮代储期间保险投保工作，保险受益安排保障甲方储备粮权益。</w:t>
      </w:r>
    </w:p>
    <w:p w14:paraId="4F4CCB6F">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乙方粮库作业与管理必须遵守《粮库安全生产守则》，防止发生生产安全事故。</w:t>
      </w:r>
    </w:p>
    <w:p w14:paraId="7C2553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乙方不得擅自泄露储备粮的库存数量、存放地点、质量状况、轮换计划等涉及粮食的敏感信息，所有相关信息仅可用于履行本协议所需，不得向任何第三方泄露。</w:t>
      </w:r>
    </w:p>
    <w:p w14:paraId="6742C57B">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乙方应当每季度向甲方报送库存台账、质量自检报告、资金使用情况说明，配合甲方完成各类监管统计工作。</w:t>
      </w:r>
    </w:p>
    <w:p w14:paraId="7C4164D4">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乙方就更法定代表人、股东、主要管理人员、仓储地址、联系方式等重大信息的，应当在变更后3个工作日内书面告知甲方。</w:t>
      </w:r>
    </w:p>
    <w:p w14:paraId="3B46B7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乙方违反本协议第十条义务中任何一项，除本协议另有约定外，甲方有权单方解除协议并没收履约保证金。</w:t>
      </w:r>
    </w:p>
    <w:p w14:paraId="70FDDE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十一、监督检查</w:t>
      </w:r>
    </w:p>
    <w:p w14:paraId="30C2A3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 甲方以及县发改局、县财政局、农发行丰顺县支行和相关部门有权不定期进入乙方库区开展实地检查；清查库存数量、查验粮食质量。查阅台账、调取粮情记录，乙方必须在2小时内配合甲方及相关部门的检查，无正当理由不得迟延、阻挠、拒绝检查，不得弄虚作假、隐瞒真实情况、封锁库点，否则甲方有权直接视为乙方存在严重违约行为，有权单方解除协议并没收履约保证金。</w:t>
      </w:r>
    </w:p>
    <w:p w14:paraId="43E9FC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 检查发现账实不符、质量不达标、管理不规范等问题，甲方向乙方下达整改通知书，乙方须在规定时限内完成整改。</w:t>
      </w:r>
    </w:p>
    <w:p w14:paraId="5C5B55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 如检查发现乙方存在虚库、虚报、掺假使假等行为，甲方有权单方面解除协议，没收履约保证金，并追究乙方全部经济损失及法律责任。</w:t>
      </w:r>
    </w:p>
    <w:p w14:paraId="292798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十二、保管责任及风险承担</w:t>
      </w:r>
    </w:p>
    <w:p w14:paraId="3BDB82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 自稻谷采购入库、甲方支付贷款之日起，直至代储期满粮食全部出库且验收合格交付给甲方或甲方指定的接收方之日止，粮食毁损、灭失、数量短少、品质劣变、食品安全问题的全部风险由乙方承担。</w:t>
      </w:r>
    </w:p>
    <w:p w14:paraId="74BABF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 因自然灾害、洪涝、台风、火灾、偷盗、虫害霉变、管理不善、设施故障等一切原因造成储备粮损失的，乙方应当在损失发生后24小时内书面告知甲方，并应在甲方书面通知之日起7日内补足同等数量、同等质量的合格稻谷；无法补足的，损失发生当期同品质储备粮的最高市场价格全额赔偿。乙方未按期补足或赔偿的，还应按未补足或未赔偿部分粮食价值的每日万分之五向甲方支付逾期赔偿金，直至补足或赔偿完毕之日止。因储备粮损失产生的应急处置、监管协调等额外费用由乙方承担。</w:t>
      </w:r>
    </w:p>
    <w:p w14:paraId="3791E1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 因乙方擅自运用、轮换、处置储备粮造成损失，乙方除全额赔偿外，还应当承担相应违约责任。</w:t>
      </w:r>
    </w:p>
    <w:p w14:paraId="476494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4. 因国家政策重大调整、政府征收征用等不可归责甲乙双方的不可抗力，双方另行协商风险分担，但乙方仍有义务采取措施最大限度保护粮食资产。</w:t>
      </w:r>
    </w:p>
    <w:p w14:paraId="5E4494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十三、协议变更、中止解除</w:t>
      </w:r>
    </w:p>
    <w:p w14:paraId="0D2D8D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1.本协议任何修改、补充，均须签订书面补充协议，补充协议与本协议具备同等法律效力。</w:t>
      </w:r>
    </w:p>
    <w:p w14:paraId="080968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2.发生下列情形之一，甲方有权单方面中止或解除本协议：</w:t>
      </w:r>
      <w:r>
        <w:rPr>
          <w:rFonts w:hint="eastAsia" w:ascii="Times New Roman" w:hAnsi="Times New Roman" w:eastAsia="仿宋_GB2312" w:cs="Times New Roman"/>
          <w:sz w:val="32"/>
          <w:szCs w:val="32"/>
          <w:lang w:val="en-US" w:eastAsia="zh-CN"/>
        </w:rPr>
        <w:br w:type="textWrapping"/>
      </w:r>
      <w:r>
        <w:rPr>
          <w:rFonts w:hint="eastAsia" w:ascii="Times New Roman" w:hAnsi="Times New Roman" w:eastAsia="仿宋_GB2312" w:cs="Times New Roman"/>
          <w:sz w:val="32"/>
          <w:szCs w:val="32"/>
          <w:lang w:val="en-US" w:eastAsia="zh-CN"/>
        </w:rPr>
        <w:t xml:space="preserve">  （1）乙方仓储资质失效、库区被关停，不再具备储粮条件；</w:t>
      </w:r>
      <w:r>
        <w:rPr>
          <w:rFonts w:hint="eastAsia" w:ascii="Times New Roman" w:hAnsi="Times New Roman" w:eastAsia="仿宋_GB2312" w:cs="Times New Roman"/>
          <w:sz w:val="32"/>
          <w:szCs w:val="32"/>
          <w:lang w:val="en-US" w:eastAsia="zh-CN"/>
        </w:rPr>
        <w:br w:type="textWrapping"/>
      </w:r>
      <w:r>
        <w:rPr>
          <w:rFonts w:hint="eastAsia" w:ascii="Times New Roman" w:hAnsi="Times New Roman" w:eastAsia="仿宋_GB2312" w:cs="Times New Roman"/>
          <w:sz w:val="32"/>
          <w:szCs w:val="32"/>
          <w:lang w:val="en-US" w:eastAsia="zh-CN"/>
        </w:rPr>
        <w:t xml:space="preserve">  （2）库存核查发现严重虚库、重大质量问题，限期整改仍不合格；</w:t>
      </w:r>
      <w:r>
        <w:rPr>
          <w:rFonts w:hint="eastAsia" w:ascii="Times New Roman" w:hAnsi="Times New Roman" w:eastAsia="仿宋_GB2312" w:cs="Times New Roman"/>
          <w:sz w:val="32"/>
          <w:szCs w:val="32"/>
          <w:lang w:val="en-US" w:eastAsia="zh-CN"/>
        </w:rPr>
        <w:br w:type="textWrapping"/>
      </w:r>
      <w:r>
        <w:rPr>
          <w:rFonts w:hint="eastAsia" w:ascii="Times New Roman" w:hAnsi="Times New Roman" w:eastAsia="仿宋_GB2312" w:cs="Times New Roman"/>
          <w:sz w:val="32"/>
          <w:szCs w:val="32"/>
          <w:lang w:val="en-US" w:eastAsia="zh-CN"/>
        </w:rPr>
        <w:t xml:space="preserve">  （3）未经甲方批复擅自动用、轮换储备稻谷；</w:t>
      </w:r>
      <w:r>
        <w:rPr>
          <w:rFonts w:hint="eastAsia" w:ascii="Times New Roman" w:hAnsi="Times New Roman" w:eastAsia="仿宋_GB2312" w:cs="Times New Roman"/>
          <w:sz w:val="32"/>
          <w:szCs w:val="32"/>
          <w:lang w:val="en-US" w:eastAsia="zh-CN"/>
        </w:rPr>
        <w:br w:type="textWrapping"/>
      </w:r>
      <w:r>
        <w:rPr>
          <w:rFonts w:hint="eastAsia" w:ascii="Times New Roman" w:hAnsi="Times New Roman" w:eastAsia="仿宋_GB2312" w:cs="Times New Roman"/>
          <w:sz w:val="32"/>
          <w:szCs w:val="32"/>
          <w:lang w:val="en-US" w:eastAsia="zh-CN"/>
        </w:rPr>
        <w:t xml:space="preserve">  （4）乙方出现重大债务纠纷，库区面临查封、拍卖风险且无法提供有效保障；</w:t>
      </w:r>
      <w:r>
        <w:rPr>
          <w:rFonts w:hint="eastAsia" w:ascii="Times New Roman" w:hAnsi="Times New Roman" w:eastAsia="仿宋_GB2312" w:cs="Times New Roman"/>
          <w:sz w:val="32"/>
          <w:szCs w:val="32"/>
          <w:lang w:val="en-US" w:eastAsia="zh-CN"/>
        </w:rPr>
        <w:br w:type="textWrapping"/>
      </w:r>
      <w:r>
        <w:rPr>
          <w:rFonts w:hint="eastAsia" w:ascii="Times New Roman" w:hAnsi="Times New Roman" w:eastAsia="仿宋_GB2312" w:cs="Times New Roman"/>
          <w:sz w:val="32"/>
          <w:szCs w:val="32"/>
          <w:lang w:val="en-US" w:eastAsia="zh-CN"/>
        </w:rPr>
        <w:t xml:space="preserve">  （5）乙方挪用收购贷款、严重违反本协议其他核心义务。</w:t>
      </w:r>
    </w:p>
    <w:p w14:paraId="3F9517E8">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（6）乙方未按本协议约定在两年内将储备粮全部转移至丰顺县区域内仓库储存。</w:t>
      </w:r>
    </w:p>
    <w:p w14:paraId="126EB558">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（7）乙方未按本协议约定时限缴纳履约保证金、提交相关资料、完成整改或履行其他核心义务的。</w:t>
      </w:r>
    </w:p>
    <w:p w14:paraId="72EFBA54">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（8）乙方发生生产安全事故、质量安全事故或其他可能影响储备粮安全的事件的。</w:t>
      </w:r>
    </w:p>
    <w:p w14:paraId="002DC9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3.协议解除 / 中止后，乙方须按照甲方要求限期完成粮食移交，相关损失由责任方承担。</w:t>
      </w:r>
    </w:p>
    <w:p w14:paraId="7B7D2B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4.如因上级粮食政策调整、县级储备规模调整需要提前终止协议，甲方应提前 60 日书面通知乙方，双方按实际代储期限及已完成工作清算包干费用，乙方需配合完成储备粮移交。</w:t>
      </w:r>
    </w:p>
    <w:p w14:paraId="04BF30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bookmarkStart w:id="2" w:name="heading_15"/>
      <w:r>
        <w:rPr>
          <w:rFonts w:hint="eastAsia" w:ascii="Times New Roman" w:hAnsi="Times New Roman" w:eastAsia="黑体" w:cs="Times New Roman"/>
          <w:sz w:val="32"/>
          <w:szCs w:val="32"/>
          <w:lang w:val="en-US" w:eastAsia="zh-CN"/>
        </w:rPr>
        <w:t>十四、违约责任</w:t>
      </w:r>
      <w:bookmarkEnd w:id="2"/>
    </w:p>
    <w:p w14:paraId="60ACB2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1.乙方未能按期足额完成 8100 吨稻谷入库，视为违约，甲方有权扣减履约保证金，并要求乙方赔偿由此给甲方造成的全部损失，包括但不限于甲方因此产生的贷款利息损失、另行采购的价差损失及行政监管处罚损失。</w:t>
      </w:r>
    </w:p>
    <w:p w14:paraId="43EF87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保管期间库存数量短少、质量不达标，乙方应在甲方书面通知的合理期限内补足同等数量、同等质量的稻谷或按当期同品质储备粮市场折价赔偿；逾期未整改的，甲方有权直接从履约保证金中抵扣，不足部分甲方有权继续向乙方追偿。</w:t>
      </w:r>
    </w:p>
    <w:p w14:paraId="0BE1A6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未经甲方书面同意擅自处置储备粮，乙方按涉及粮食价值的30%向甲方支付违约金，同时赔偿由此给甲方造成的全部损失，包括但不限于粮食价值损失、储备粮市场差价损失、应急补库产生的采购及运输差价、甲方为恢复储备粮库存产生的全部费用以及行政罚款、财政处罚等损失。</w:t>
      </w:r>
    </w:p>
    <w:p w14:paraId="661A2D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4.甲方未按协议约定支付包干费用，逾期部分按同期 银行支付资金占用利息（因乙方资料不齐、存在违约情形除外）。</w:t>
      </w:r>
    </w:p>
    <w:p w14:paraId="015D41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bookmarkStart w:id="3" w:name="heading_16"/>
      <w:r>
        <w:rPr>
          <w:rFonts w:hint="eastAsia" w:ascii="Times New Roman" w:hAnsi="Times New Roman" w:eastAsia="黑体" w:cs="Times New Roman"/>
          <w:sz w:val="32"/>
          <w:szCs w:val="32"/>
          <w:lang w:val="en-US" w:eastAsia="zh-CN"/>
        </w:rPr>
        <w:t>十五、 争议处理</w:t>
      </w:r>
      <w:bookmarkEnd w:id="3"/>
    </w:p>
    <w:p w14:paraId="4544E4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因履行本协议产生的一切争议，甲乙双方应优先友好协商解决；协商不成的，任何一方均有权向甲方所在地有管辖权的人民法院提起诉讼。届时，败诉方将承担由此纠纷所产生的诉讼费、律师费、保全费、执行费等。法院认定双方各有过错的，双方各自按法院确定的己方诉讼费承担比例承担前述费用。</w:t>
      </w:r>
    </w:p>
    <w:p w14:paraId="5B4456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bookmarkStart w:id="4" w:name="heading_17"/>
      <w:r>
        <w:rPr>
          <w:rFonts w:hint="eastAsia" w:ascii="Times New Roman" w:hAnsi="Times New Roman" w:eastAsia="黑体" w:cs="Times New Roman"/>
          <w:sz w:val="32"/>
          <w:szCs w:val="32"/>
          <w:lang w:val="en-US" w:eastAsia="zh-CN"/>
        </w:rPr>
        <w:t>十六、 其他约定</w:t>
      </w:r>
      <w:bookmarkEnd w:id="4"/>
    </w:p>
    <w:p w14:paraId="7867F6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1.本协议适用《粮食流通管理条例》《广东省粮食安全保障条例》《丰顺县县级储备粮管理办法》以及储备粮各项政策文件。</w:t>
      </w:r>
    </w:p>
    <w:p w14:paraId="776E0A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2.乙方知晓本批粮食属于丰顺县人民政府储备粮，清楚违反储备粮管理规定将承担行政责任、民事赔偿，涉嫌犯罪的移送司法机关。</w:t>
      </w:r>
    </w:p>
    <w:p w14:paraId="6F9E3E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3.本协议未尽事宜，双方另行签订补充协议。</w:t>
      </w:r>
    </w:p>
    <w:p w14:paraId="05EB2F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bookmarkStart w:id="5" w:name="heading_18"/>
      <w:r>
        <w:rPr>
          <w:rFonts w:hint="eastAsia" w:ascii="Times New Roman" w:hAnsi="Times New Roman" w:eastAsia="黑体" w:cs="Times New Roman"/>
          <w:sz w:val="32"/>
          <w:szCs w:val="32"/>
          <w:lang w:val="en-US" w:eastAsia="zh-CN"/>
        </w:rPr>
        <w:t>十七、协议份数及效力</w:t>
      </w:r>
      <w:bookmarkEnd w:id="5"/>
    </w:p>
    <w:p w14:paraId="04066E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本协议自甲乙双方法定代表人或其授权代表签字并加盖公章之日起生效，有效期至代储期限届满且储备粮全部出库完成之日止。本协议一式三份，甲乙双方各执一份，梅州市交易中心执一份，具有同等法律效力。</w:t>
      </w:r>
    </w:p>
    <w:p w14:paraId="048359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（以下无正文）</w:t>
      </w:r>
    </w:p>
    <w:p w14:paraId="1DDDDC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sz w:val="32"/>
          <w:szCs w:val="32"/>
          <w:lang w:val="en-US" w:eastAsia="zh-CN"/>
        </w:rPr>
      </w:pPr>
    </w:p>
    <w:p w14:paraId="10484F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62F977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甲方（盖章）：</w:t>
      </w:r>
    </w:p>
    <w:p w14:paraId="52BCC1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br w:type="textWrapping"/>
      </w:r>
      <w:r>
        <w:rPr>
          <w:rFonts w:hint="eastAsia" w:ascii="Times New Roman" w:hAnsi="Times New Roman" w:eastAsia="仿宋_GB2312" w:cs="Times New Roman"/>
          <w:sz w:val="32"/>
          <w:szCs w:val="32"/>
          <w:lang w:val="en-US" w:eastAsia="zh-CN"/>
        </w:rPr>
        <w:t>法定代表人 / 授权代表签字：</w:t>
      </w:r>
      <w:r>
        <w:rPr>
          <w:rFonts w:hint="eastAsia" w:ascii="Times New Roman" w:hAnsi="Times New Roman" w:eastAsia="仿宋_GB2312" w:cs="Times New Roman"/>
          <w:sz w:val="32"/>
          <w:szCs w:val="32"/>
          <w:lang w:val="en-US" w:eastAsia="zh-CN"/>
        </w:rPr>
        <w:br w:type="textWrapping"/>
      </w:r>
    </w:p>
    <w:p w14:paraId="1B8390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20949D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乙方（盖章）：</w:t>
      </w:r>
    </w:p>
    <w:p w14:paraId="6F8F7F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br w:type="textWrapping"/>
      </w:r>
      <w:r>
        <w:rPr>
          <w:rFonts w:hint="eastAsia" w:ascii="Times New Roman" w:hAnsi="Times New Roman" w:eastAsia="仿宋_GB2312" w:cs="Times New Roman"/>
          <w:sz w:val="32"/>
          <w:szCs w:val="32"/>
          <w:lang w:val="en-US" w:eastAsia="zh-CN"/>
        </w:rPr>
        <w:t>法定代表人 / 授权代表签字：</w:t>
      </w:r>
    </w:p>
    <w:p w14:paraId="479952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br w:type="textWrapping"/>
      </w:r>
      <w:bookmarkStart w:id="6" w:name="_GoBack"/>
      <w:bookmarkEnd w:id="6"/>
    </w:p>
    <w:p w14:paraId="11F72BE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确认单位：梅州市嘉应粮食交易中心有限公司</w:t>
      </w:r>
    </w:p>
    <w:p w14:paraId="523B1C1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电话（传真）0753-2128232   0753-2128231</w:t>
      </w:r>
    </w:p>
    <w:p w14:paraId="72112F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635FF7AA">
      <w:pPr>
        <w:keepNext w:val="0"/>
        <w:keepLines w:val="0"/>
        <w:pageBreakBefore w:val="0"/>
        <w:widowControl w:val="0"/>
        <w:kinsoku/>
        <w:wordWrap/>
        <w:overflowPunct/>
        <w:topLinePunct w:val="0"/>
        <w:autoSpaceDE/>
        <w:autoSpaceDN/>
        <w:bidi w:val="0"/>
        <w:adjustRightInd/>
        <w:snapToGrid/>
        <w:spacing w:line="560" w:lineRule="exact"/>
        <w:ind w:firstLine="3200" w:firstLineChars="10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日期：  年  月  日</w:t>
      </w:r>
    </w:p>
    <w:p w14:paraId="69AFC226">
      <w:pPr>
        <w:widowControl w:val="0"/>
        <w:numPr>
          <w:ilvl w:val="0"/>
          <w:numId w:val="0"/>
        </w:numPr>
        <w:ind w:firstLine="640"/>
        <w:jc w:val="both"/>
        <w:rPr>
          <w:rFonts w:hint="eastAsia"/>
          <w:sz w:val="32"/>
          <w:szCs w:val="40"/>
          <w:highlight w:val="none"/>
          <w:u w:val="none"/>
          <w:lang w:val="en-US" w:eastAsia="zh-CN"/>
        </w:rPr>
      </w:pPr>
    </w:p>
    <w:p w14:paraId="24D883FE">
      <w:pPr>
        <w:widowControl w:val="0"/>
        <w:numPr>
          <w:ilvl w:val="0"/>
          <w:numId w:val="0"/>
        </w:numPr>
        <w:ind w:firstLine="640"/>
        <w:jc w:val="both"/>
        <w:rPr>
          <w:rFonts w:hint="eastAsia"/>
          <w:sz w:val="32"/>
          <w:szCs w:val="40"/>
          <w:highlight w:val="none"/>
          <w:u w:val="none"/>
          <w:lang w:val="en-US" w:eastAsia="zh-CN"/>
        </w:rPr>
      </w:pPr>
    </w:p>
    <w:p w14:paraId="1F440909">
      <w:pPr>
        <w:widowControl w:val="0"/>
        <w:numPr>
          <w:ilvl w:val="0"/>
          <w:numId w:val="0"/>
        </w:numPr>
        <w:jc w:val="both"/>
        <w:rPr>
          <w:rFonts w:hint="eastAsia"/>
          <w:sz w:val="32"/>
          <w:szCs w:val="40"/>
          <w:highlight w:val="none"/>
          <w:u w:val="none"/>
          <w:lang w:val="en-US" w:eastAsia="zh-CN"/>
        </w:rPr>
      </w:pPr>
    </w:p>
    <w:p w14:paraId="4547AF8B">
      <w:pPr>
        <w:widowControl w:val="0"/>
        <w:numPr>
          <w:ilvl w:val="0"/>
          <w:numId w:val="0"/>
        </w:numPr>
        <w:ind w:firstLine="640"/>
        <w:jc w:val="both"/>
        <w:rPr>
          <w:rFonts w:hint="eastAsia"/>
          <w:sz w:val="32"/>
          <w:szCs w:val="40"/>
          <w:highlight w:val="none"/>
          <w:u w:val="none"/>
          <w:lang w:val="en-US" w:eastAsia="zh-CN"/>
        </w:rPr>
      </w:pPr>
    </w:p>
    <w:p w14:paraId="2C808E01">
      <w:pPr>
        <w:widowControl w:val="0"/>
        <w:numPr>
          <w:ilvl w:val="0"/>
          <w:numId w:val="0"/>
        </w:numPr>
        <w:ind w:firstLine="640"/>
        <w:jc w:val="both"/>
        <w:rPr>
          <w:rFonts w:hint="eastAsia"/>
          <w:sz w:val="32"/>
          <w:szCs w:val="40"/>
          <w:highlight w:val="none"/>
          <w:u w:val="none"/>
          <w:lang w:val="en-US" w:eastAsia="zh-CN"/>
        </w:rPr>
      </w:pPr>
    </w:p>
    <w:p w14:paraId="035A3838">
      <w:pPr>
        <w:widowControl w:val="0"/>
        <w:numPr>
          <w:ilvl w:val="0"/>
          <w:numId w:val="0"/>
        </w:numPr>
        <w:ind w:firstLine="640"/>
        <w:jc w:val="both"/>
        <w:rPr>
          <w:rFonts w:hint="default"/>
          <w:sz w:val="32"/>
          <w:szCs w:val="40"/>
          <w:highlight w:val="none"/>
          <w:u w:val="none"/>
          <w:lang w:val="en-US" w:eastAsia="zh-CN"/>
        </w:rPr>
      </w:pPr>
    </w:p>
    <w:p w14:paraId="0D1E9DBD">
      <w:pPr>
        <w:widowControl w:val="0"/>
        <w:numPr>
          <w:ilvl w:val="0"/>
          <w:numId w:val="0"/>
        </w:numPr>
        <w:jc w:val="both"/>
        <w:rPr>
          <w:rFonts w:hint="default"/>
          <w:sz w:val="32"/>
          <w:szCs w:val="40"/>
          <w:highlight w:val="none"/>
          <w:u w:val="none"/>
          <w:lang w:val="en-US" w:eastAsia="zh-CN"/>
        </w:rPr>
      </w:pPr>
    </w:p>
    <w:p w14:paraId="052E66C7">
      <w:pPr>
        <w:widowControl w:val="0"/>
        <w:numPr>
          <w:ilvl w:val="0"/>
          <w:numId w:val="0"/>
        </w:numPr>
        <w:jc w:val="both"/>
        <w:rPr>
          <w:rFonts w:hint="default"/>
          <w:sz w:val="32"/>
          <w:szCs w:val="40"/>
          <w:highlight w:val="none"/>
          <w:u w:val="none"/>
          <w:lang w:val="en-US" w:eastAsia="zh-CN"/>
        </w:rPr>
      </w:pPr>
    </w:p>
    <w:p w14:paraId="71ABC89B">
      <w:pPr>
        <w:widowControl w:val="0"/>
        <w:numPr>
          <w:ilvl w:val="0"/>
          <w:numId w:val="0"/>
        </w:numPr>
        <w:jc w:val="both"/>
        <w:rPr>
          <w:rFonts w:hint="default"/>
          <w:sz w:val="32"/>
          <w:szCs w:val="40"/>
          <w:highlight w:val="none"/>
          <w:u w:val="none"/>
          <w:lang w:val="en-US" w:eastAsia="zh-CN"/>
        </w:rPr>
      </w:pPr>
    </w:p>
    <w:p w14:paraId="4F416A98">
      <w:pPr>
        <w:widowControl w:val="0"/>
        <w:numPr>
          <w:ilvl w:val="0"/>
          <w:numId w:val="0"/>
        </w:numPr>
        <w:jc w:val="both"/>
        <w:rPr>
          <w:rFonts w:hint="default"/>
          <w:sz w:val="32"/>
          <w:szCs w:val="40"/>
          <w:highlight w:val="none"/>
          <w:u w:val="none"/>
          <w:lang w:val="en-US" w:eastAsia="zh-CN"/>
        </w:rPr>
      </w:pPr>
    </w:p>
    <w:p w14:paraId="1E390743">
      <w:pPr>
        <w:widowControl w:val="0"/>
        <w:numPr>
          <w:ilvl w:val="0"/>
          <w:numId w:val="0"/>
        </w:numPr>
        <w:jc w:val="both"/>
        <w:rPr>
          <w:rFonts w:hint="default"/>
          <w:sz w:val="32"/>
          <w:szCs w:val="40"/>
          <w:highlight w:val="none"/>
          <w:u w:val="none"/>
          <w:lang w:val="en-US" w:eastAsia="zh-CN"/>
        </w:rPr>
      </w:pPr>
    </w:p>
    <w:p w14:paraId="7AD13F21">
      <w:pPr>
        <w:ind w:right="640"/>
        <w:jc w:val="center"/>
        <w:rPr>
          <w:rFonts w:hint="eastAsia" w:ascii="仿宋" w:hAnsi="仿宋" w:eastAsia="仿宋"/>
          <w:sz w:val="32"/>
          <w:szCs w:val="32"/>
        </w:rPr>
      </w:pPr>
    </w:p>
    <w:p w14:paraId="0743ABD5">
      <w:pPr>
        <w:pStyle w:val="4"/>
        <w:rPr>
          <w:rFonts w:hint="eastAsia"/>
        </w:rPr>
      </w:pPr>
    </w:p>
    <w:p w14:paraId="6253D068">
      <w:pPr>
        <w:keepNext w:val="0"/>
        <w:keepLines w:val="0"/>
        <w:pageBreakBefore w:val="0"/>
        <w:widowControl w:val="0"/>
        <w:kinsoku/>
        <w:wordWrap/>
        <w:overflowPunct/>
        <w:topLinePunct w:val="0"/>
        <w:bidi w:val="0"/>
        <w:snapToGrid/>
        <w:spacing w:line="340" w:lineRule="exact"/>
        <w:textAlignment w:val="auto"/>
        <w:rPr>
          <w:rFonts w:hint="default" w:ascii="Times New Roman" w:hAnsi="Times New Roman" w:cs="Times New Roman"/>
          <w:sz w:val="24"/>
          <w:szCs w:val="24"/>
        </w:rPr>
      </w:pPr>
    </w:p>
    <w:sectPr>
      <w:footerReference r:id="rId5" w:type="default"/>
      <w:pgSz w:w="11906" w:h="16838"/>
      <w:pgMar w:top="1304" w:right="1469" w:bottom="1247" w:left="179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简体">
    <w:panose1 w:val="02010601030101010101"/>
    <w:charset w:val="86"/>
    <w:family w:val="auto"/>
    <w:pitch w:val="default"/>
    <w:sig w:usb0="00000001" w:usb1="080E0000" w:usb2="00000000" w:usb3="00000000" w:csb0="00040000" w:csb1="00000000"/>
  </w:font>
  <w:font w:name="文星仿宋">
    <w:panose1 w:val="02010604000101010101"/>
    <w:charset w:val="86"/>
    <w:family w:val="modern"/>
    <w:pitch w:val="default"/>
    <w:sig w:usb0="00000001" w:usb1="080E0000" w:usb2="00000000"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C43FE">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7FB83A">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D7FB83A">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63DE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550183">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9550183">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1E27D">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5A8D63"/>
    <w:multiLevelType w:val="singleLevel"/>
    <w:tmpl w:val="815A8D63"/>
    <w:lvl w:ilvl="0" w:tentative="0">
      <w:start w:val="8"/>
      <w:numFmt w:val="decimal"/>
      <w:suff w:val="space"/>
      <w:lvlText w:val="%1."/>
      <w:lvlJc w:val="left"/>
    </w:lvl>
  </w:abstractNum>
  <w:abstractNum w:abstractNumId="1">
    <w:nsid w:val="1F13DC98"/>
    <w:multiLevelType w:val="singleLevel"/>
    <w:tmpl w:val="1F13DC98"/>
    <w:lvl w:ilvl="0" w:tentative="0">
      <w:start w:val="2"/>
      <w:numFmt w:val="chineseCounting"/>
      <w:suff w:val="nothing"/>
      <w:lvlText w:val="%1、"/>
      <w:lvlJc w:val="left"/>
      <w:rPr>
        <w:rFonts w:hint="eastAsia"/>
      </w:rPr>
    </w:lvl>
  </w:abstractNum>
  <w:abstractNum w:abstractNumId="2">
    <w:nsid w:val="42E0692E"/>
    <w:multiLevelType w:val="singleLevel"/>
    <w:tmpl w:val="42E0692E"/>
    <w:lvl w:ilvl="0" w:tentative="0">
      <w:start w:val="1"/>
      <w:numFmt w:val="decimal"/>
      <w:suff w:val="space"/>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kYzUzMzUyMGZjMjg5MmVhOGI3NWExODhhYjU1MzIifQ=="/>
    <w:docVar w:name="KSO_WPS_MARK_KEY" w:val="19d08553-7a6a-42dc-918a-6849083e6995"/>
  </w:docVars>
  <w:rsids>
    <w:rsidRoot w:val="00497FD1"/>
    <w:rsid w:val="0000037E"/>
    <w:rsid w:val="000035F7"/>
    <w:rsid w:val="000058F1"/>
    <w:rsid w:val="0001202F"/>
    <w:rsid w:val="00014E0B"/>
    <w:rsid w:val="000152E6"/>
    <w:rsid w:val="00017275"/>
    <w:rsid w:val="00026187"/>
    <w:rsid w:val="0002691A"/>
    <w:rsid w:val="00045F72"/>
    <w:rsid w:val="00050AFF"/>
    <w:rsid w:val="0006718C"/>
    <w:rsid w:val="00074864"/>
    <w:rsid w:val="00077F84"/>
    <w:rsid w:val="000807BD"/>
    <w:rsid w:val="00094F2B"/>
    <w:rsid w:val="00096B25"/>
    <w:rsid w:val="000A0633"/>
    <w:rsid w:val="000A4A9B"/>
    <w:rsid w:val="000C5481"/>
    <w:rsid w:val="000F40E4"/>
    <w:rsid w:val="00100FE5"/>
    <w:rsid w:val="001035B8"/>
    <w:rsid w:val="00110D01"/>
    <w:rsid w:val="00111327"/>
    <w:rsid w:val="00113892"/>
    <w:rsid w:val="001152CA"/>
    <w:rsid w:val="0013605A"/>
    <w:rsid w:val="001431E1"/>
    <w:rsid w:val="00143C5C"/>
    <w:rsid w:val="00152DA2"/>
    <w:rsid w:val="00184CAB"/>
    <w:rsid w:val="001B6B5F"/>
    <w:rsid w:val="001C14BF"/>
    <w:rsid w:val="001D446C"/>
    <w:rsid w:val="001D5B49"/>
    <w:rsid w:val="001E2B98"/>
    <w:rsid w:val="001F768A"/>
    <w:rsid w:val="00200335"/>
    <w:rsid w:val="002116A3"/>
    <w:rsid w:val="00221ED0"/>
    <w:rsid w:val="00224DC0"/>
    <w:rsid w:val="0023071A"/>
    <w:rsid w:val="00234722"/>
    <w:rsid w:val="00236C10"/>
    <w:rsid w:val="00251B46"/>
    <w:rsid w:val="002801F8"/>
    <w:rsid w:val="0029138D"/>
    <w:rsid w:val="002931B0"/>
    <w:rsid w:val="00297ADC"/>
    <w:rsid w:val="002C67DE"/>
    <w:rsid w:val="002E0E68"/>
    <w:rsid w:val="003038C8"/>
    <w:rsid w:val="00304C25"/>
    <w:rsid w:val="003210DD"/>
    <w:rsid w:val="00323542"/>
    <w:rsid w:val="00333BEE"/>
    <w:rsid w:val="00342C51"/>
    <w:rsid w:val="00361F6D"/>
    <w:rsid w:val="00371CF7"/>
    <w:rsid w:val="003846F5"/>
    <w:rsid w:val="00385F2B"/>
    <w:rsid w:val="00391184"/>
    <w:rsid w:val="003950A2"/>
    <w:rsid w:val="003A760F"/>
    <w:rsid w:val="003B6694"/>
    <w:rsid w:val="003C0010"/>
    <w:rsid w:val="003D641E"/>
    <w:rsid w:val="003D66AA"/>
    <w:rsid w:val="003E5E3D"/>
    <w:rsid w:val="003F6593"/>
    <w:rsid w:val="00410369"/>
    <w:rsid w:val="0044051E"/>
    <w:rsid w:val="00460C08"/>
    <w:rsid w:val="00470F90"/>
    <w:rsid w:val="00487650"/>
    <w:rsid w:val="00497FD1"/>
    <w:rsid w:val="004A095E"/>
    <w:rsid w:val="004C565E"/>
    <w:rsid w:val="004C6AEA"/>
    <w:rsid w:val="004E747F"/>
    <w:rsid w:val="004F097D"/>
    <w:rsid w:val="004F2097"/>
    <w:rsid w:val="004F74C3"/>
    <w:rsid w:val="005046F7"/>
    <w:rsid w:val="00511694"/>
    <w:rsid w:val="00537024"/>
    <w:rsid w:val="00547CD6"/>
    <w:rsid w:val="005644F2"/>
    <w:rsid w:val="005724EF"/>
    <w:rsid w:val="005A266A"/>
    <w:rsid w:val="005A7DEB"/>
    <w:rsid w:val="005C6853"/>
    <w:rsid w:val="005E1815"/>
    <w:rsid w:val="005E286B"/>
    <w:rsid w:val="005E522E"/>
    <w:rsid w:val="005E658F"/>
    <w:rsid w:val="005E755A"/>
    <w:rsid w:val="005F3B4B"/>
    <w:rsid w:val="00606DF5"/>
    <w:rsid w:val="0061699B"/>
    <w:rsid w:val="006358E0"/>
    <w:rsid w:val="00644FB7"/>
    <w:rsid w:val="006507AA"/>
    <w:rsid w:val="00651C70"/>
    <w:rsid w:val="00656CEC"/>
    <w:rsid w:val="00675E93"/>
    <w:rsid w:val="0068638E"/>
    <w:rsid w:val="006916EF"/>
    <w:rsid w:val="006944B9"/>
    <w:rsid w:val="00695904"/>
    <w:rsid w:val="006B15A7"/>
    <w:rsid w:val="006C06F8"/>
    <w:rsid w:val="006D2D0A"/>
    <w:rsid w:val="006D305D"/>
    <w:rsid w:val="006D4BF2"/>
    <w:rsid w:val="006D6917"/>
    <w:rsid w:val="007042E7"/>
    <w:rsid w:val="007073D7"/>
    <w:rsid w:val="00723297"/>
    <w:rsid w:val="00723923"/>
    <w:rsid w:val="007244E1"/>
    <w:rsid w:val="00727C6D"/>
    <w:rsid w:val="007475C8"/>
    <w:rsid w:val="007505F7"/>
    <w:rsid w:val="00753619"/>
    <w:rsid w:val="007538F2"/>
    <w:rsid w:val="00762D9E"/>
    <w:rsid w:val="007A273F"/>
    <w:rsid w:val="007A2EC9"/>
    <w:rsid w:val="007A3877"/>
    <w:rsid w:val="007B3B44"/>
    <w:rsid w:val="007C7552"/>
    <w:rsid w:val="007D0C0F"/>
    <w:rsid w:val="007D3A9C"/>
    <w:rsid w:val="007E1BB5"/>
    <w:rsid w:val="007E7CE9"/>
    <w:rsid w:val="00803A12"/>
    <w:rsid w:val="0081372D"/>
    <w:rsid w:val="00816F5C"/>
    <w:rsid w:val="00831B16"/>
    <w:rsid w:val="00831BFA"/>
    <w:rsid w:val="00840854"/>
    <w:rsid w:val="0086219C"/>
    <w:rsid w:val="008661C4"/>
    <w:rsid w:val="008671C1"/>
    <w:rsid w:val="00870B90"/>
    <w:rsid w:val="00894724"/>
    <w:rsid w:val="00896C6A"/>
    <w:rsid w:val="00897A05"/>
    <w:rsid w:val="008A7BCD"/>
    <w:rsid w:val="008D249A"/>
    <w:rsid w:val="008D3092"/>
    <w:rsid w:val="008E5AC6"/>
    <w:rsid w:val="008F09A3"/>
    <w:rsid w:val="0090171D"/>
    <w:rsid w:val="009022D6"/>
    <w:rsid w:val="00903759"/>
    <w:rsid w:val="009168E4"/>
    <w:rsid w:val="0092052F"/>
    <w:rsid w:val="009271FD"/>
    <w:rsid w:val="009306D5"/>
    <w:rsid w:val="0093143A"/>
    <w:rsid w:val="00960103"/>
    <w:rsid w:val="00974ABA"/>
    <w:rsid w:val="0098781B"/>
    <w:rsid w:val="00997E5F"/>
    <w:rsid w:val="009B434D"/>
    <w:rsid w:val="009B4746"/>
    <w:rsid w:val="009C1A33"/>
    <w:rsid w:val="009D1AF3"/>
    <w:rsid w:val="009D1CD6"/>
    <w:rsid w:val="009E1C25"/>
    <w:rsid w:val="009E226D"/>
    <w:rsid w:val="009F1556"/>
    <w:rsid w:val="009F1BE8"/>
    <w:rsid w:val="009F238F"/>
    <w:rsid w:val="009F6E54"/>
    <w:rsid w:val="00A3051C"/>
    <w:rsid w:val="00A33A50"/>
    <w:rsid w:val="00A404F6"/>
    <w:rsid w:val="00A40AF5"/>
    <w:rsid w:val="00A65FC5"/>
    <w:rsid w:val="00A75677"/>
    <w:rsid w:val="00A81D0C"/>
    <w:rsid w:val="00A86704"/>
    <w:rsid w:val="00A946A1"/>
    <w:rsid w:val="00A973C1"/>
    <w:rsid w:val="00AC111C"/>
    <w:rsid w:val="00AC437F"/>
    <w:rsid w:val="00AD09FB"/>
    <w:rsid w:val="00AD5D2C"/>
    <w:rsid w:val="00AF0F99"/>
    <w:rsid w:val="00B06CDC"/>
    <w:rsid w:val="00B10AB9"/>
    <w:rsid w:val="00B13CBE"/>
    <w:rsid w:val="00B14AD9"/>
    <w:rsid w:val="00B172B6"/>
    <w:rsid w:val="00B22967"/>
    <w:rsid w:val="00B24540"/>
    <w:rsid w:val="00B30583"/>
    <w:rsid w:val="00B306DF"/>
    <w:rsid w:val="00B30E77"/>
    <w:rsid w:val="00B37F09"/>
    <w:rsid w:val="00B40838"/>
    <w:rsid w:val="00B43CD8"/>
    <w:rsid w:val="00B441E4"/>
    <w:rsid w:val="00B4670E"/>
    <w:rsid w:val="00B47BFD"/>
    <w:rsid w:val="00B51907"/>
    <w:rsid w:val="00B51F50"/>
    <w:rsid w:val="00B71757"/>
    <w:rsid w:val="00B71D81"/>
    <w:rsid w:val="00B72FE7"/>
    <w:rsid w:val="00B75572"/>
    <w:rsid w:val="00B83B3A"/>
    <w:rsid w:val="00B85595"/>
    <w:rsid w:val="00B91D67"/>
    <w:rsid w:val="00BB3F45"/>
    <w:rsid w:val="00BC36D9"/>
    <w:rsid w:val="00BC7FE5"/>
    <w:rsid w:val="00BD24F5"/>
    <w:rsid w:val="00BF5DFF"/>
    <w:rsid w:val="00BF6531"/>
    <w:rsid w:val="00C045DD"/>
    <w:rsid w:val="00C52728"/>
    <w:rsid w:val="00C703DA"/>
    <w:rsid w:val="00C732E5"/>
    <w:rsid w:val="00C74388"/>
    <w:rsid w:val="00C83FB6"/>
    <w:rsid w:val="00C920D9"/>
    <w:rsid w:val="00C936A8"/>
    <w:rsid w:val="00CA342F"/>
    <w:rsid w:val="00CA3DE4"/>
    <w:rsid w:val="00CA46F9"/>
    <w:rsid w:val="00CD0183"/>
    <w:rsid w:val="00CD023A"/>
    <w:rsid w:val="00CD6992"/>
    <w:rsid w:val="00CE3257"/>
    <w:rsid w:val="00CE4D88"/>
    <w:rsid w:val="00CE6CD9"/>
    <w:rsid w:val="00D1010C"/>
    <w:rsid w:val="00D24989"/>
    <w:rsid w:val="00D24C2D"/>
    <w:rsid w:val="00D258A1"/>
    <w:rsid w:val="00D5713F"/>
    <w:rsid w:val="00D652C4"/>
    <w:rsid w:val="00D851E9"/>
    <w:rsid w:val="00D857B5"/>
    <w:rsid w:val="00D918D0"/>
    <w:rsid w:val="00D95A57"/>
    <w:rsid w:val="00D97003"/>
    <w:rsid w:val="00DB1AFF"/>
    <w:rsid w:val="00DE2C0F"/>
    <w:rsid w:val="00DE4060"/>
    <w:rsid w:val="00DE6DBE"/>
    <w:rsid w:val="00E07358"/>
    <w:rsid w:val="00E16609"/>
    <w:rsid w:val="00E20EA5"/>
    <w:rsid w:val="00E219D2"/>
    <w:rsid w:val="00E43543"/>
    <w:rsid w:val="00E512AF"/>
    <w:rsid w:val="00E65B1A"/>
    <w:rsid w:val="00E83F32"/>
    <w:rsid w:val="00E85B2B"/>
    <w:rsid w:val="00E85C18"/>
    <w:rsid w:val="00EA2EC3"/>
    <w:rsid w:val="00EB1DA4"/>
    <w:rsid w:val="00EB4FCE"/>
    <w:rsid w:val="00EE4AC6"/>
    <w:rsid w:val="00EE4D26"/>
    <w:rsid w:val="00EE58A6"/>
    <w:rsid w:val="00EE5BD4"/>
    <w:rsid w:val="00EE7F00"/>
    <w:rsid w:val="00F1181B"/>
    <w:rsid w:val="00F158EB"/>
    <w:rsid w:val="00F161ED"/>
    <w:rsid w:val="00F26389"/>
    <w:rsid w:val="00F319FD"/>
    <w:rsid w:val="00F47AE9"/>
    <w:rsid w:val="00F550A9"/>
    <w:rsid w:val="00F60374"/>
    <w:rsid w:val="00F61EFD"/>
    <w:rsid w:val="00F65396"/>
    <w:rsid w:val="00F6597E"/>
    <w:rsid w:val="00F71E49"/>
    <w:rsid w:val="00F91909"/>
    <w:rsid w:val="00F97951"/>
    <w:rsid w:val="00FA47F0"/>
    <w:rsid w:val="00FA4CD3"/>
    <w:rsid w:val="00FA7059"/>
    <w:rsid w:val="00FC4FB2"/>
    <w:rsid w:val="00FD03B2"/>
    <w:rsid w:val="00FD3E4B"/>
    <w:rsid w:val="00FE68D5"/>
    <w:rsid w:val="00FF075B"/>
    <w:rsid w:val="00FF13FC"/>
    <w:rsid w:val="00FF1EC8"/>
    <w:rsid w:val="00FF4229"/>
    <w:rsid w:val="00FF4769"/>
    <w:rsid w:val="00FF7BDA"/>
    <w:rsid w:val="031E6EFB"/>
    <w:rsid w:val="034D4B53"/>
    <w:rsid w:val="037C22CE"/>
    <w:rsid w:val="03AD1A10"/>
    <w:rsid w:val="0408131E"/>
    <w:rsid w:val="05D215EF"/>
    <w:rsid w:val="099479C1"/>
    <w:rsid w:val="0A506C93"/>
    <w:rsid w:val="0D506086"/>
    <w:rsid w:val="0E3169C1"/>
    <w:rsid w:val="0E3A4E76"/>
    <w:rsid w:val="0E6434F6"/>
    <w:rsid w:val="0FD772D0"/>
    <w:rsid w:val="123776F9"/>
    <w:rsid w:val="1246530A"/>
    <w:rsid w:val="12A762F8"/>
    <w:rsid w:val="1451537B"/>
    <w:rsid w:val="14927462"/>
    <w:rsid w:val="164C0C88"/>
    <w:rsid w:val="16D83800"/>
    <w:rsid w:val="1770386E"/>
    <w:rsid w:val="19D83103"/>
    <w:rsid w:val="1C562A14"/>
    <w:rsid w:val="1D44297A"/>
    <w:rsid w:val="1D827BE6"/>
    <w:rsid w:val="1FF40492"/>
    <w:rsid w:val="24275AEC"/>
    <w:rsid w:val="26AE7A7C"/>
    <w:rsid w:val="26D72747"/>
    <w:rsid w:val="2CB35427"/>
    <w:rsid w:val="2DF0431A"/>
    <w:rsid w:val="2FA571A0"/>
    <w:rsid w:val="321A7CE1"/>
    <w:rsid w:val="324F79A0"/>
    <w:rsid w:val="33220EBD"/>
    <w:rsid w:val="34BA6266"/>
    <w:rsid w:val="375B6319"/>
    <w:rsid w:val="3A172405"/>
    <w:rsid w:val="3A510733"/>
    <w:rsid w:val="3B514E2A"/>
    <w:rsid w:val="3C1F10A2"/>
    <w:rsid w:val="3C845DEB"/>
    <w:rsid w:val="3F4F6032"/>
    <w:rsid w:val="3F913A59"/>
    <w:rsid w:val="40491E32"/>
    <w:rsid w:val="41B36463"/>
    <w:rsid w:val="430A21B9"/>
    <w:rsid w:val="43B43B06"/>
    <w:rsid w:val="441B7C4A"/>
    <w:rsid w:val="49400B92"/>
    <w:rsid w:val="49C30AA6"/>
    <w:rsid w:val="4A3D274A"/>
    <w:rsid w:val="4B650D2A"/>
    <w:rsid w:val="4FAF4E30"/>
    <w:rsid w:val="50123FE9"/>
    <w:rsid w:val="503D6E27"/>
    <w:rsid w:val="50426F02"/>
    <w:rsid w:val="51DC59FA"/>
    <w:rsid w:val="56020B9E"/>
    <w:rsid w:val="56EA0819"/>
    <w:rsid w:val="592939A8"/>
    <w:rsid w:val="594B3F95"/>
    <w:rsid w:val="5AFC000F"/>
    <w:rsid w:val="5BD90156"/>
    <w:rsid w:val="5C14118E"/>
    <w:rsid w:val="5FC120E5"/>
    <w:rsid w:val="60B011B0"/>
    <w:rsid w:val="60C2740B"/>
    <w:rsid w:val="634E31D8"/>
    <w:rsid w:val="63D745AA"/>
    <w:rsid w:val="64295854"/>
    <w:rsid w:val="644876A6"/>
    <w:rsid w:val="6572640B"/>
    <w:rsid w:val="66F70B8A"/>
    <w:rsid w:val="6B873CDB"/>
    <w:rsid w:val="6DDD43F5"/>
    <w:rsid w:val="6E2B758B"/>
    <w:rsid w:val="6E750E25"/>
    <w:rsid w:val="6E800092"/>
    <w:rsid w:val="6F2659F7"/>
    <w:rsid w:val="6FC53565"/>
    <w:rsid w:val="70441BEA"/>
    <w:rsid w:val="70BF4809"/>
    <w:rsid w:val="70DA42FD"/>
    <w:rsid w:val="72C375B5"/>
    <w:rsid w:val="73C62C4D"/>
    <w:rsid w:val="747D571B"/>
    <w:rsid w:val="75D44697"/>
    <w:rsid w:val="760712C8"/>
    <w:rsid w:val="77812B8D"/>
    <w:rsid w:val="7A0875FF"/>
    <w:rsid w:val="7ABC58E2"/>
    <w:rsid w:val="7D8710BA"/>
    <w:rsid w:val="7E687619"/>
    <w:rsid w:val="7F04001E"/>
    <w:rsid w:val="7F3075EF"/>
    <w:rsid w:val="7F64663E"/>
    <w:rsid w:val="FF6B0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qFormat/>
    <w:uiPriority w:val="0"/>
    <w:pPr>
      <w:autoSpaceDE w:val="0"/>
      <w:autoSpaceDN w:val="0"/>
      <w:adjustRightInd w:val="0"/>
      <w:spacing w:line="500" w:lineRule="exact"/>
      <w:ind w:firstLine="560" w:firstLineChars="200"/>
    </w:pPr>
    <w:rPr>
      <w:rFonts w:ascii="仿宋_GB2312" w:eastAsia="仿宋_GB2312"/>
      <w:kern w:val="0"/>
      <w:sz w:val="28"/>
    </w:rPr>
  </w:style>
  <w:style w:type="paragraph" w:styleId="4">
    <w:name w:val="Plain Text"/>
    <w:basedOn w:val="1"/>
    <w:next w:val="1"/>
    <w:qFormat/>
    <w:uiPriority w:val="0"/>
    <w:rPr>
      <w:rFonts w:ascii="宋体" w:hAnsi="Courier New" w:eastAsia="宋体" w:cs="Times New Roman"/>
      <w:szCs w:val="20"/>
    </w:rPr>
  </w:style>
  <w:style w:type="paragraph" w:styleId="5">
    <w:name w:val="Body Text Indent 2"/>
    <w:basedOn w:val="1"/>
    <w:qFormat/>
    <w:uiPriority w:val="0"/>
    <w:pPr>
      <w:autoSpaceDE w:val="0"/>
      <w:autoSpaceDN w:val="0"/>
      <w:adjustRightInd w:val="0"/>
      <w:spacing w:line="460" w:lineRule="exact"/>
      <w:ind w:firstLine="480" w:firstLineChars="200"/>
    </w:pPr>
    <w:rPr>
      <w:rFonts w:ascii="仿宋_GB2312" w:eastAsia="仿宋_GB2312"/>
      <w:kern w:val="0"/>
      <w:sz w:val="24"/>
    </w:rPr>
  </w:style>
  <w:style w:type="paragraph" w:styleId="6">
    <w:name w:val="Balloon Text"/>
    <w:basedOn w:val="1"/>
    <w:semiHidden/>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index 1"/>
    <w:basedOn w:val="1"/>
    <w:next w:val="1"/>
    <w:semiHidden/>
    <w:qFormat/>
    <w:uiPriority w:val="0"/>
  </w:style>
  <w:style w:type="character" w:styleId="12">
    <w:name w:val="page number"/>
    <w:basedOn w:val="11"/>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grain</Company>
  <Pages>17</Pages>
  <Words>2684</Words>
  <Characters>2818</Characters>
  <Lines>2</Lines>
  <Paragraphs>3</Paragraphs>
  <TotalTime>0</TotalTime>
  <ScaleCrop>false</ScaleCrop>
  <LinksUpToDate>false</LinksUpToDate>
  <CharactersWithSpaces>2965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2019-08-07T15:43:00Z</dcterms:created>
  <dc:creator>hn</dc:creator>
  <cp:lastModifiedBy>晨怡</cp:lastModifiedBy>
  <cp:lastPrinted>2026-09-22T07:00:00Z</cp:lastPrinted>
  <dcterms:modified xsi:type="dcterms:W3CDTF">2026-09-22T08:53:19Z</dcterms:modified>
  <dc:title>广东华南粮食中心批发市场</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8F8CAE348DF844078734B458AF7FA78F</vt:lpwstr>
  </property>
  <property fmtid="{D5CDD505-2E9C-101B-9397-08002B2CF9AE}" pid="4" name="KSOTemplateDocerSaveRecord">
    <vt:lpwstr>eyJoZGlkIjoiNWJhYWYyMmMyM2E3NmZmZDUwNzE3NTk3MGI4ZTI5ODciLCJ1c2VySWQiOiI3NjE2NDY1NDUifQ==</vt:lpwstr>
  </property>
</Properties>
</file>