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B5473">
      <w:pPr>
        <w:autoSpaceDE w:val="0"/>
        <w:autoSpaceDN w:val="0"/>
        <w:adjustRightInd w:val="0"/>
        <w:jc w:val="center"/>
        <w:rPr>
          <w:rFonts w:ascii="宋体" w:hAnsi="宋体" w:eastAsia="宋体" w:cs="Times New Roman"/>
          <w:b/>
          <w:kern w:val="0"/>
          <w:sz w:val="44"/>
          <w:szCs w:val="44"/>
        </w:rPr>
      </w:pPr>
      <w:r>
        <w:rPr>
          <w:rFonts w:hint="eastAsia" w:ascii="宋体" w:hAnsi="宋体" w:eastAsia="宋体" w:cs="Times New Roman"/>
          <w:b/>
          <w:kern w:val="0"/>
          <w:sz w:val="44"/>
          <w:szCs w:val="44"/>
        </w:rPr>
        <w:t>梅州市嘉应粮食交易中心动态食用植物油</w:t>
      </w:r>
    </w:p>
    <w:p w14:paraId="77AFE764">
      <w:pPr>
        <w:autoSpaceDE w:val="0"/>
        <w:autoSpaceDN w:val="0"/>
        <w:adjustRightInd w:val="0"/>
        <w:jc w:val="center"/>
        <w:rPr>
          <w:rFonts w:ascii="宋体" w:hAnsi="宋体" w:eastAsia="宋体" w:cs="Times New Roman"/>
          <w:b/>
          <w:kern w:val="0"/>
          <w:sz w:val="44"/>
          <w:szCs w:val="44"/>
        </w:rPr>
      </w:pPr>
      <w:r>
        <w:rPr>
          <w:rFonts w:hint="eastAsia" w:ascii="宋体" w:hAnsi="宋体" w:eastAsia="宋体" w:cs="Times New Roman"/>
          <w:b/>
          <w:kern w:val="0"/>
          <w:sz w:val="44"/>
          <w:szCs w:val="44"/>
        </w:rPr>
        <w:t>竞价采购交易合同</w:t>
      </w:r>
    </w:p>
    <w:p w14:paraId="1946A3C5">
      <w:pPr>
        <w:autoSpaceDE w:val="0"/>
        <w:autoSpaceDN w:val="0"/>
        <w:adjustRightInd w:val="0"/>
        <w:spacing w:line="500" w:lineRule="atLeast"/>
        <w:jc w:val="center"/>
        <w:rPr>
          <w:rFonts w:ascii="宋体" w:hAnsi="宋体" w:eastAsia="宋体" w:cs="Times New Roman"/>
          <w:b/>
          <w:kern w:val="0"/>
          <w:sz w:val="24"/>
          <w:szCs w:val="24"/>
        </w:rPr>
      </w:pPr>
    </w:p>
    <w:p w14:paraId="339BFDEC">
      <w:pPr>
        <w:autoSpaceDE w:val="0"/>
        <w:autoSpaceDN w:val="0"/>
        <w:adjustRightInd w:val="0"/>
        <w:spacing w:line="500" w:lineRule="atLeast"/>
        <w:rPr>
          <w:rFonts w:ascii="宋体" w:hAnsi="宋体" w:eastAsia="宋体" w:cs="Times New Roman"/>
          <w:kern w:val="0"/>
          <w:sz w:val="24"/>
          <w:szCs w:val="24"/>
          <w:u w:val="single"/>
        </w:rPr>
      </w:pPr>
      <w:r>
        <w:rPr>
          <w:rFonts w:hint="eastAsia" w:ascii="宋体" w:hAnsi="宋体" w:eastAsia="宋体" w:cs="Times New Roman"/>
          <w:kern w:val="0"/>
          <w:sz w:val="24"/>
          <w:szCs w:val="24"/>
        </w:rPr>
        <w:t>合同编号：</w:t>
      </w:r>
    </w:p>
    <w:p w14:paraId="5289F7E1">
      <w:pPr>
        <w:spacing w:line="500" w:lineRule="atLeast"/>
        <w:rPr>
          <w:rFonts w:ascii="宋体" w:hAnsi="宋体" w:eastAsia="宋体" w:cs="Times New Roman"/>
          <w:kern w:val="0"/>
          <w:sz w:val="24"/>
          <w:szCs w:val="24"/>
        </w:rPr>
      </w:pPr>
      <w:r>
        <w:rPr>
          <w:rFonts w:hint="eastAsia" w:ascii="宋体" w:hAnsi="宋体" w:eastAsia="宋体" w:cs="Times New Roman"/>
          <w:kern w:val="0"/>
          <w:sz w:val="24"/>
          <w:szCs w:val="24"/>
        </w:rPr>
        <w:t>买方全称：</w:t>
      </w:r>
    </w:p>
    <w:p w14:paraId="1E8C0CA2">
      <w:pPr>
        <w:spacing w:line="500" w:lineRule="atLeast"/>
        <w:rPr>
          <w:rFonts w:ascii="宋体" w:hAnsi="宋体" w:eastAsia="宋体" w:cs="Times New Roman"/>
          <w:kern w:val="0"/>
          <w:sz w:val="24"/>
          <w:szCs w:val="24"/>
        </w:rPr>
      </w:pPr>
      <w:r>
        <w:rPr>
          <w:rFonts w:hint="eastAsia" w:ascii="宋体" w:hAnsi="宋体" w:eastAsia="宋体" w:cs="Times New Roman"/>
          <w:kern w:val="0"/>
          <w:sz w:val="24"/>
          <w:szCs w:val="24"/>
        </w:rPr>
        <w:t>卖方全称：</w:t>
      </w:r>
    </w:p>
    <w:p w14:paraId="298D7712">
      <w:pPr>
        <w:autoSpaceDE w:val="0"/>
        <w:autoSpaceDN w:val="0"/>
        <w:adjustRightInd w:val="0"/>
        <w:spacing w:after="240" w:line="500" w:lineRule="atLeast"/>
        <w:rPr>
          <w:rFonts w:ascii="宋体" w:hAnsi="宋体" w:eastAsia="宋体" w:cs="Times New Roman"/>
          <w:kern w:val="0"/>
          <w:sz w:val="24"/>
          <w:szCs w:val="24"/>
        </w:rPr>
      </w:pPr>
      <w:r>
        <w:rPr>
          <w:rFonts w:hint="eastAsia" w:ascii="宋体" w:hAnsi="宋体" w:eastAsia="宋体" w:cs="Times New Roman"/>
          <w:kern w:val="0"/>
          <w:sz w:val="24"/>
          <w:szCs w:val="24"/>
        </w:rPr>
        <w:t xml:space="preserve">     一</w:t>
      </w:r>
      <w:r>
        <w:rPr>
          <w:rFonts w:hint="eastAsia" w:ascii="宋体" w:hAnsi="宋体" w:eastAsia="宋体" w:cs="Times New Roman"/>
          <w:bCs/>
          <w:kern w:val="0"/>
          <w:sz w:val="24"/>
          <w:szCs w:val="24"/>
        </w:rPr>
        <w:t>、成交标的</w:t>
      </w:r>
      <w:r>
        <w:rPr>
          <w:rFonts w:hint="eastAsia" w:ascii="宋体" w:hAnsi="宋体" w:eastAsia="宋体" w:cs="Times New Roman"/>
          <w:kern w:val="0"/>
          <w:sz w:val="24"/>
          <w:szCs w:val="24"/>
        </w:rPr>
        <w:t xml:space="preserve">（见下表）                          单位：元、吨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1967"/>
        <w:gridCol w:w="1276"/>
        <w:gridCol w:w="3827"/>
      </w:tblGrid>
      <w:tr w14:paraId="3995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9" w:type="dxa"/>
            <w:tcBorders>
              <w:top w:val="single" w:color="auto" w:sz="4" w:space="0"/>
              <w:left w:val="single" w:color="auto" w:sz="4" w:space="0"/>
              <w:bottom w:val="single" w:color="auto" w:sz="4" w:space="0"/>
              <w:right w:val="single" w:color="auto" w:sz="4" w:space="0"/>
            </w:tcBorders>
            <w:vAlign w:val="center"/>
          </w:tcPr>
          <w:p w14:paraId="6A350FF1">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标的号</w:t>
            </w:r>
          </w:p>
        </w:tc>
        <w:tc>
          <w:tcPr>
            <w:tcW w:w="1967" w:type="dxa"/>
            <w:tcBorders>
              <w:top w:val="single" w:color="auto" w:sz="4" w:space="0"/>
              <w:left w:val="single" w:color="auto" w:sz="4" w:space="0"/>
              <w:bottom w:val="single" w:color="auto" w:sz="4" w:space="0"/>
              <w:right w:val="single" w:color="auto" w:sz="4" w:space="0"/>
            </w:tcBorders>
            <w:vAlign w:val="center"/>
          </w:tcPr>
          <w:p w14:paraId="6F3C4441">
            <w:pPr>
              <w:autoSpaceDE w:val="0"/>
              <w:autoSpaceDN w:val="0"/>
              <w:adjustRightInd w:val="0"/>
              <w:rPr>
                <w:rFonts w:ascii="宋体" w:hAnsi="宋体" w:eastAsia="宋体" w:cs="Times New Roman"/>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26AD1E67">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生产年度</w:t>
            </w:r>
          </w:p>
        </w:tc>
        <w:tc>
          <w:tcPr>
            <w:tcW w:w="3827" w:type="dxa"/>
            <w:tcBorders>
              <w:top w:val="single" w:color="auto" w:sz="4" w:space="0"/>
              <w:left w:val="single" w:color="auto" w:sz="4" w:space="0"/>
              <w:bottom w:val="single" w:color="auto" w:sz="4" w:space="0"/>
              <w:right w:val="single" w:color="auto" w:sz="4" w:space="0"/>
            </w:tcBorders>
            <w:vAlign w:val="center"/>
          </w:tcPr>
          <w:p w14:paraId="5122825E">
            <w:pPr>
              <w:autoSpaceDE w:val="0"/>
              <w:autoSpaceDN w:val="0"/>
              <w:adjustRightInd w:val="0"/>
              <w:rPr>
                <w:rFonts w:hint="default" w:ascii="宋体" w:hAnsi="宋体" w:eastAsia="宋体" w:cs="Times New Roman"/>
                <w:sz w:val="24"/>
                <w:szCs w:val="24"/>
                <w:lang w:val="en-US" w:eastAsia="zh-CN"/>
              </w:rPr>
            </w:pPr>
            <w:r>
              <w:rPr>
                <w:rFonts w:hint="eastAsia" w:ascii="宋体" w:hAnsi="宋体" w:eastAsia="宋体" w:cs="Times New Roman"/>
                <w:sz w:val="24"/>
                <w:szCs w:val="24"/>
              </w:rPr>
              <w:t>202</w:t>
            </w: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10月产</w:t>
            </w:r>
          </w:p>
        </w:tc>
      </w:tr>
      <w:tr w14:paraId="399F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9" w:type="dxa"/>
            <w:tcBorders>
              <w:top w:val="single" w:color="auto" w:sz="4" w:space="0"/>
              <w:left w:val="single" w:color="auto" w:sz="4" w:space="0"/>
              <w:bottom w:val="single" w:color="auto" w:sz="4" w:space="0"/>
              <w:right w:val="single" w:color="auto" w:sz="4" w:space="0"/>
            </w:tcBorders>
            <w:vAlign w:val="center"/>
          </w:tcPr>
          <w:p w14:paraId="15135FC0">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品 种</w:t>
            </w:r>
          </w:p>
        </w:tc>
        <w:tc>
          <w:tcPr>
            <w:tcW w:w="1967" w:type="dxa"/>
            <w:tcBorders>
              <w:top w:val="single" w:color="auto" w:sz="4" w:space="0"/>
              <w:left w:val="single" w:color="auto" w:sz="4" w:space="0"/>
              <w:bottom w:val="single" w:color="auto" w:sz="4" w:space="0"/>
              <w:right w:val="single" w:color="auto" w:sz="4" w:space="0"/>
            </w:tcBorders>
            <w:vAlign w:val="center"/>
          </w:tcPr>
          <w:p w14:paraId="5B3FA678">
            <w:pPr>
              <w:autoSpaceDE w:val="0"/>
              <w:autoSpaceDN w:val="0"/>
              <w:adjustRightInd w:val="0"/>
              <w:rPr>
                <w:rFonts w:ascii="宋体" w:hAnsi="宋体" w:eastAsia="宋体" w:cs="Times New Roman"/>
                <w:sz w:val="24"/>
                <w:szCs w:val="24"/>
              </w:rPr>
            </w:pPr>
            <w:r>
              <w:rPr>
                <w:rFonts w:hint="eastAsia" w:ascii="宋体" w:hAnsi="宋体" w:eastAsia="宋体" w:cs="Times New Roman"/>
                <w:sz w:val="24"/>
                <w:szCs w:val="24"/>
              </w:rPr>
              <w:t>食用植物油</w:t>
            </w:r>
          </w:p>
        </w:tc>
        <w:tc>
          <w:tcPr>
            <w:tcW w:w="1276" w:type="dxa"/>
            <w:tcBorders>
              <w:top w:val="single" w:color="auto" w:sz="4" w:space="0"/>
              <w:left w:val="single" w:color="auto" w:sz="4" w:space="0"/>
              <w:bottom w:val="single" w:color="auto" w:sz="4" w:space="0"/>
              <w:right w:val="single" w:color="auto" w:sz="4" w:space="0"/>
            </w:tcBorders>
            <w:vAlign w:val="center"/>
          </w:tcPr>
          <w:p w14:paraId="3FAB95A9">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数 量</w:t>
            </w:r>
          </w:p>
        </w:tc>
        <w:tc>
          <w:tcPr>
            <w:tcW w:w="3827" w:type="dxa"/>
            <w:tcBorders>
              <w:top w:val="single" w:color="auto" w:sz="4" w:space="0"/>
              <w:left w:val="single" w:color="auto" w:sz="4" w:space="0"/>
              <w:bottom w:val="single" w:color="auto" w:sz="4" w:space="0"/>
              <w:right w:val="single" w:color="auto" w:sz="4" w:space="0"/>
            </w:tcBorders>
            <w:vAlign w:val="center"/>
          </w:tcPr>
          <w:p w14:paraId="499C9562">
            <w:pPr>
              <w:autoSpaceDE w:val="0"/>
              <w:autoSpaceDN w:val="0"/>
              <w:adjustRightInd w:val="0"/>
              <w:ind w:firstLine="720" w:firstLineChars="300"/>
              <w:rPr>
                <w:rFonts w:ascii="宋体" w:hAnsi="宋体" w:eastAsia="宋体" w:cs="Times New Roman"/>
                <w:sz w:val="24"/>
                <w:szCs w:val="24"/>
              </w:rPr>
            </w:pPr>
            <w:r>
              <w:rPr>
                <w:rFonts w:hint="eastAsia" w:ascii="宋体" w:hAnsi="宋体" w:eastAsia="宋体" w:cs="Times New Roman"/>
                <w:sz w:val="24"/>
                <w:szCs w:val="24"/>
              </w:rPr>
              <w:t>吨</w:t>
            </w:r>
          </w:p>
        </w:tc>
      </w:tr>
      <w:tr w14:paraId="231C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9" w:type="dxa"/>
            <w:tcBorders>
              <w:top w:val="single" w:color="auto" w:sz="4" w:space="0"/>
              <w:left w:val="single" w:color="auto" w:sz="4" w:space="0"/>
              <w:bottom w:val="single" w:color="auto" w:sz="4" w:space="0"/>
              <w:right w:val="single" w:color="auto" w:sz="4" w:space="0"/>
            </w:tcBorders>
            <w:vAlign w:val="center"/>
          </w:tcPr>
          <w:p w14:paraId="64E928AC">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等 级</w:t>
            </w:r>
          </w:p>
        </w:tc>
        <w:tc>
          <w:tcPr>
            <w:tcW w:w="1967" w:type="dxa"/>
            <w:tcBorders>
              <w:top w:val="single" w:color="auto" w:sz="4" w:space="0"/>
              <w:left w:val="single" w:color="auto" w:sz="4" w:space="0"/>
              <w:bottom w:val="single" w:color="auto" w:sz="4" w:space="0"/>
              <w:right w:val="single" w:color="auto" w:sz="4" w:space="0"/>
            </w:tcBorders>
            <w:vAlign w:val="center"/>
          </w:tcPr>
          <w:p w14:paraId="5ED7F68E">
            <w:pPr>
              <w:autoSpaceDE w:val="0"/>
              <w:autoSpaceDN w:val="0"/>
              <w:adjustRightInd w:val="0"/>
              <w:rPr>
                <w:rFonts w:ascii="宋体" w:hAnsi="宋体" w:eastAsia="宋体" w:cs="Times New Roman"/>
                <w:sz w:val="24"/>
                <w:szCs w:val="24"/>
              </w:rPr>
            </w:pPr>
            <w:r>
              <w:rPr>
                <w:rFonts w:hint="eastAsia" w:ascii="宋体" w:hAnsi="宋体" w:eastAsia="宋体" w:cs="Times New Roman"/>
                <w:sz w:val="24"/>
                <w:szCs w:val="24"/>
              </w:rPr>
              <w:t>二级以上</w:t>
            </w:r>
          </w:p>
        </w:tc>
        <w:tc>
          <w:tcPr>
            <w:tcW w:w="1276" w:type="dxa"/>
            <w:tcBorders>
              <w:top w:val="single" w:color="auto" w:sz="4" w:space="0"/>
              <w:left w:val="single" w:color="auto" w:sz="4" w:space="0"/>
              <w:bottom w:val="single" w:color="auto" w:sz="4" w:space="0"/>
              <w:right w:val="single" w:color="auto" w:sz="4" w:space="0"/>
            </w:tcBorders>
            <w:vAlign w:val="center"/>
          </w:tcPr>
          <w:p w14:paraId="4CD77126">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单 价</w:t>
            </w:r>
          </w:p>
        </w:tc>
        <w:tc>
          <w:tcPr>
            <w:tcW w:w="3827" w:type="dxa"/>
            <w:tcBorders>
              <w:top w:val="single" w:color="auto" w:sz="4" w:space="0"/>
              <w:left w:val="single" w:color="auto" w:sz="4" w:space="0"/>
              <w:bottom w:val="single" w:color="auto" w:sz="4" w:space="0"/>
              <w:right w:val="single" w:color="auto" w:sz="4" w:space="0"/>
            </w:tcBorders>
            <w:vAlign w:val="center"/>
          </w:tcPr>
          <w:p w14:paraId="38A91EE4">
            <w:pPr>
              <w:autoSpaceDE w:val="0"/>
              <w:autoSpaceDN w:val="0"/>
              <w:adjustRightInd w:val="0"/>
              <w:rPr>
                <w:rFonts w:hint="default" w:ascii="宋体" w:hAnsi="宋体" w:eastAsia="宋体" w:cs="Times New Roman"/>
                <w:sz w:val="24"/>
                <w:szCs w:val="24"/>
                <w:lang w:val="en-US" w:eastAsia="zh-CN"/>
              </w:rPr>
            </w:pPr>
          </w:p>
        </w:tc>
      </w:tr>
      <w:tr w14:paraId="7FD1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9" w:type="dxa"/>
            <w:tcBorders>
              <w:top w:val="single" w:color="auto" w:sz="4" w:space="0"/>
              <w:left w:val="single" w:color="auto" w:sz="4" w:space="0"/>
              <w:bottom w:val="single" w:color="auto" w:sz="4" w:space="0"/>
              <w:right w:val="single" w:color="auto" w:sz="4" w:space="0"/>
            </w:tcBorders>
            <w:vAlign w:val="center"/>
          </w:tcPr>
          <w:p w14:paraId="6466FE92">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产 地</w:t>
            </w:r>
          </w:p>
        </w:tc>
        <w:tc>
          <w:tcPr>
            <w:tcW w:w="1967" w:type="dxa"/>
            <w:tcBorders>
              <w:top w:val="single" w:color="auto" w:sz="4" w:space="0"/>
              <w:left w:val="single" w:color="auto" w:sz="4" w:space="0"/>
              <w:bottom w:val="single" w:color="auto" w:sz="4" w:space="0"/>
              <w:right w:val="single" w:color="auto" w:sz="4" w:space="0"/>
            </w:tcBorders>
            <w:vAlign w:val="center"/>
          </w:tcPr>
          <w:p w14:paraId="7D747A20">
            <w:pPr>
              <w:autoSpaceDE w:val="0"/>
              <w:autoSpaceDN w:val="0"/>
              <w:adjustRightInd w:val="0"/>
              <w:rPr>
                <w:rFonts w:ascii="宋体" w:hAnsi="宋体" w:eastAsia="宋体" w:cs="Times New Roman"/>
                <w:sz w:val="24"/>
                <w:szCs w:val="24"/>
              </w:rPr>
            </w:pPr>
            <w:r>
              <w:rPr>
                <w:rFonts w:hint="eastAsia" w:ascii="宋体" w:hAnsi="宋体" w:eastAsia="宋体" w:cs="Times New Roman"/>
                <w:kern w:val="0"/>
                <w:sz w:val="24"/>
                <w:szCs w:val="24"/>
              </w:rPr>
              <w:t>国内</w:t>
            </w:r>
          </w:p>
        </w:tc>
        <w:tc>
          <w:tcPr>
            <w:tcW w:w="1276" w:type="dxa"/>
            <w:tcBorders>
              <w:top w:val="single" w:color="auto" w:sz="4" w:space="0"/>
              <w:left w:val="single" w:color="auto" w:sz="4" w:space="0"/>
              <w:bottom w:val="single" w:color="auto" w:sz="4" w:space="0"/>
              <w:right w:val="single" w:color="auto" w:sz="4" w:space="0"/>
            </w:tcBorders>
            <w:vAlign w:val="center"/>
          </w:tcPr>
          <w:p w14:paraId="093F5B79">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5472D426">
            <w:pPr>
              <w:autoSpaceDE w:val="0"/>
              <w:autoSpaceDN w:val="0"/>
              <w:adjustRightInd w:val="0"/>
              <w:rPr>
                <w:rFonts w:ascii="宋体" w:hAnsi="宋体" w:eastAsia="宋体" w:cs="Times New Roman"/>
                <w:sz w:val="24"/>
                <w:szCs w:val="24"/>
              </w:rPr>
            </w:pPr>
          </w:p>
        </w:tc>
      </w:tr>
      <w:tr w14:paraId="0589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9" w:type="dxa"/>
            <w:tcBorders>
              <w:top w:val="single" w:color="auto" w:sz="4" w:space="0"/>
              <w:left w:val="single" w:color="auto" w:sz="4" w:space="0"/>
              <w:bottom w:val="single" w:color="auto" w:sz="4" w:space="0"/>
              <w:right w:val="single" w:color="auto" w:sz="4" w:space="0"/>
            </w:tcBorders>
            <w:vAlign w:val="center"/>
          </w:tcPr>
          <w:p w14:paraId="4A9D2EA3">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交货方式</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30236B74">
            <w:pPr>
              <w:autoSpaceDE w:val="0"/>
              <w:autoSpaceDN w:val="0"/>
              <w:adjustRightInd w:val="0"/>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仓库堆好交货</w:t>
            </w:r>
          </w:p>
        </w:tc>
      </w:tr>
      <w:tr w14:paraId="57BD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9" w:type="dxa"/>
            <w:tcBorders>
              <w:top w:val="single" w:color="auto" w:sz="4" w:space="0"/>
              <w:left w:val="single" w:color="auto" w:sz="4" w:space="0"/>
              <w:bottom w:val="single" w:color="auto" w:sz="4" w:space="0"/>
              <w:right w:val="single" w:color="auto" w:sz="4" w:space="0"/>
            </w:tcBorders>
            <w:vAlign w:val="center"/>
          </w:tcPr>
          <w:p w14:paraId="01A353EE">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交货期限</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7DB43712">
            <w:pPr>
              <w:autoSpaceDE w:val="0"/>
              <w:autoSpaceDN w:val="0"/>
              <w:adjustRightInd w:val="0"/>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2026年10月21日--2026年10月31日</w:t>
            </w:r>
          </w:p>
        </w:tc>
      </w:tr>
      <w:tr w14:paraId="7AE5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9" w:type="dxa"/>
            <w:tcBorders>
              <w:top w:val="single" w:color="auto" w:sz="4" w:space="0"/>
              <w:left w:val="single" w:color="auto" w:sz="4" w:space="0"/>
              <w:bottom w:val="single" w:color="auto" w:sz="4" w:space="0"/>
              <w:right w:val="single" w:color="auto" w:sz="4" w:space="0"/>
            </w:tcBorders>
            <w:vAlign w:val="center"/>
          </w:tcPr>
          <w:p w14:paraId="6331EF5F">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存放地点</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774DD1AB">
            <w:pPr>
              <w:autoSpaceDE w:val="0"/>
              <w:autoSpaceDN w:val="0"/>
              <w:adjustRightInd w:val="0"/>
              <w:rPr>
                <w:rFonts w:ascii="宋体" w:hAnsi="宋体" w:eastAsia="宋体" w:cs="Times New Roman"/>
                <w:sz w:val="24"/>
                <w:szCs w:val="24"/>
              </w:rPr>
            </w:pPr>
            <w:r>
              <w:rPr>
                <w:rFonts w:hint="eastAsia" w:ascii="宋体" w:hAnsi="宋体" w:eastAsia="宋体" w:cs="Times New Roman"/>
                <w:sz w:val="24"/>
                <w:szCs w:val="24"/>
              </w:rPr>
              <w:t>中标企业仓库</w:t>
            </w:r>
          </w:p>
        </w:tc>
      </w:tr>
      <w:tr w14:paraId="1B00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29" w:type="dxa"/>
            <w:tcBorders>
              <w:top w:val="single" w:color="auto" w:sz="4" w:space="0"/>
              <w:left w:val="single" w:color="auto" w:sz="4" w:space="0"/>
              <w:bottom w:val="single" w:color="auto" w:sz="4" w:space="0"/>
              <w:right w:val="single" w:color="auto" w:sz="4" w:space="0"/>
            </w:tcBorders>
            <w:vAlign w:val="center"/>
          </w:tcPr>
          <w:p w14:paraId="6F93394B">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包装要求</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4743A038">
            <w:pPr>
              <w:autoSpaceDE w:val="0"/>
              <w:autoSpaceDN w:val="0"/>
              <w:adjustRightInd w:val="0"/>
              <w:rPr>
                <w:rFonts w:ascii="宋体" w:hAnsi="宋体" w:eastAsia="宋体" w:cs="Times New Roman"/>
                <w:kern w:val="0"/>
                <w:sz w:val="24"/>
                <w:szCs w:val="24"/>
              </w:rPr>
            </w:pPr>
            <w:r>
              <w:rPr>
                <w:rFonts w:hint="eastAsia" w:ascii="宋体" w:hAnsi="宋体" w:eastAsia="宋体" w:cs="Times New Roman"/>
                <w:kern w:val="0"/>
                <w:sz w:val="24"/>
                <w:szCs w:val="24"/>
              </w:rPr>
              <w:t>≤10升/桶      包装物、赠品不计重、不计价</w:t>
            </w:r>
          </w:p>
        </w:tc>
      </w:tr>
      <w:tr w14:paraId="13F1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1329" w:type="dxa"/>
            <w:tcBorders>
              <w:top w:val="single" w:color="auto" w:sz="4" w:space="0"/>
              <w:left w:val="single" w:color="auto" w:sz="4" w:space="0"/>
              <w:bottom w:val="single" w:color="auto" w:sz="4" w:space="0"/>
              <w:right w:val="single" w:color="auto" w:sz="4" w:space="0"/>
            </w:tcBorders>
            <w:vAlign w:val="center"/>
          </w:tcPr>
          <w:p w14:paraId="17E64625">
            <w:pPr>
              <w:autoSpaceDE w:val="0"/>
              <w:autoSpaceDN w:val="0"/>
              <w:adjustRightInd w:val="0"/>
              <w:jc w:val="center"/>
              <w:rPr>
                <w:rFonts w:ascii="宋体" w:hAnsi="宋体" w:eastAsia="宋体" w:cs="Times New Roman"/>
                <w:bCs/>
                <w:sz w:val="24"/>
                <w:szCs w:val="24"/>
              </w:rPr>
            </w:pPr>
            <w:r>
              <w:rPr>
                <w:rFonts w:hint="eastAsia" w:ascii="宋体" w:hAnsi="宋体" w:eastAsia="宋体" w:cs="Times New Roman"/>
                <w:bCs/>
                <w:sz w:val="24"/>
                <w:szCs w:val="24"/>
              </w:rPr>
              <w:t>质量、卫生标准</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2B3F7E5D">
            <w:pPr>
              <w:rPr>
                <w:rFonts w:ascii="宋体" w:hAnsi="宋体" w:eastAsia="宋体" w:cs="Times New Roman"/>
                <w:sz w:val="24"/>
                <w:szCs w:val="24"/>
              </w:rPr>
            </w:pPr>
            <w:r>
              <w:rPr>
                <w:rFonts w:hint="eastAsia" w:ascii="宋体" w:hAnsi="宋体" w:eastAsia="宋体" w:cs="Times New Roman"/>
                <w:sz w:val="24"/>
                <w:szCs w:val="24"/>
              </w:rPr>
              <w:t>执行《食品安全国家标准 植物油》（GB2716-2018）相关标准的规定。</w:t>
            </w:r>
          </w:p>
        </w:tc>
      </w:tr>
    </w:tbl>
    <w:p w14:paraId="2674046F">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二、验收交货方式：卖方按国标规定的质量标准和卫生标准的要求，提交合格检验报告单，由买方点件计重（统一按每升0.92公斤计），经双方确认后，买方出具入库凭证。入库食用植物油如果质量不符合本合同约定质量标准的，买方有权不予接收，货物由卖方自行处理，并承担所发生费用。</w:t>
      </w:r>
    </w:p>
    <w:p w14:paraId="4907471B">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三、费用承担：卖方承担交货前的一切费用，买方不承担任何费用。</w:t>
      </w:r>
    </w:p>
    <w:p w14:paraId="034B5E1A">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四、货款结算：食用植物油全部数量入库并经买方确认合格后，买方在收到卖方提供的有效销售发票后5个工作日内结清全部货款（如因农发行贷款放贷未到位除外）。 </w:t>
      </w:r>
    </w:p>
    <w:p w14:paraId="6AC34045">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五、结算凭证：卖方提供本单位开出的有效货物销售增值税专用发票。</w:t>
      </w:r>
    </w:p>
    <w:p w14:paraId="3E9109A9">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六、违约责任：如有任何一方违约，违约部分保证金划归对方，并承担对方违约部分交易手续费，交易中心不承担经济责任。</w:t>
      </w:r>
    </w:p>
    <w:p w14:paraId="3988C5BD">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七、争议解决：</w:t>
      </w:r>
    </w:p>
    <w:p w14:paraId="551B6B99">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1、出现不明确责任情况，由交易中心协调解决；</w:t>
      </w:r>
    </w:p>
    <w:p w14:paraId="0DE58322">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2、卖方逾期交货（含因质量不合格被买方拒收造成的逾期交货），逾期供货10天内，每逾期一天，按逾期交货总金额的0.1%向买方支付滞纳金；超过10天的，由交易中心通知卖方停止供货，并按50元/吨扣罚中标单位逾期费。由于不可抗力原因导致卖方逾期交货，卖方应在3天内向买方及交易中心报告，说明货物受阻、受影响数量等情况，经交易中心核实，并征得买方同意后，相应顺延合同履行期限。</w:t>
      </w:r>
    </w:p>
    <w:p w14:paraId="425CFDA1">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3、买卖双方如就质量问题发生争议，双方共同抽样并委托产品质量监督检验机构检验鉴定，费用由责任方负担。</w:t>
      </w:r>
    </w:p>
    <w:p w14:paraId="11A75E4F">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八、本合同自签订之日起生效，双方履行完毕后，自然终止。</w:t>
      </w:r>
    </w:p>
    <w:p w14:paraId="12F5F9D2">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九、如有未尽事宜，买卖双方同意按照《梅州市嘉应粮食交易中心竞价交易规则》的相关条款协商解决。协商不成的，提交有关部门或通过法律程序解决。</w:t>
      </w:r>
    </w:p>
    <w:p w14:paraId="05CF399B">
      <w:pPr>
        <w:autoSpaceDE w:val="0"/>
        <w:autoSpaceDN w:val="0"/>
        <w:adjustRightInd w:val="0"/>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十、本合同一式三份，买卖双方、确认单位各执一份。</w:t>
      </w:r>
    </w:p>
    <w:p w14:paraId="06D71C99">
      <w:pPr>
        <w:autoSpaceDE w:val="0"/>
        <w:autoSpaceDN w:val="0"/>
        <w:adjustRightInd w:val="0"/>
        <w:spacing w:line="480" w:lineRule="exact"/>
        <w:ind w:firstLine="480" w:firstLineChars="200"/>
        <w:rPr>
          <w:rFonts w:ascii="宋体" w:hAnsi="宋体" w:eastAsia="宋体" w:cs="Times New Roman"/>
          <w:sz w:val="24"/>
          <w:szCs w:val="24"/>
        </w:rPr>
      </w:pPr>
    </w:p>
    <w:p w14:paraId="36BB9783">
      <w:pPr>
        <w:autoSpaceDE w:val="0"/>
        <w:autoSpaceDN w:val="0"/>
        <w:adjustRightInd w:val="0"/>
        <w:spacing w:line="460" w:lineRule="exact"/>
        <w:rPr>
          <w:rFonts w:ascii="宋体" w:hAnsi="宋体" w:eastAsia="宋体" w:cs="Times New Roman"/>
          <w:kern w:val="0"/>
          <w:sz w:val="24"/>
          <w:szCs w:val="24"/>
        </w:rPr>
      </w:pPr>
      <w:r>
        <w:rPr>
          <w:rFonts w:hint="eastAsia" w:ascii="宋体" w:hAnsi="宋体" w:eastAsia="宋体" w:cs="Times New Roman"/>
          <w:kern w:val="0"/>
          <w:sz w:val="24"/>
          <w:szCs w:val="24"/>
        </w:rPr>
        <w:t xml:space="preserve">买方单位（盖章）：                      卖方单位（盖章）： </w:t>
      </w:r>
    </w:p>
    <w:p w14:paraId="0C7F3300">
      <w:pPr>
        <w:autoSpaceDE w:val="0"/>
        <w:autoSpaceDN w:val="0"/>
        <w:adjustRightInd w:val="0"/>
        <w:spacing w:line="460" w:lineRule="exact"/>
        <w:rPr>
          <w:rFonts w:ascii="宋体" w:hAnsi="宋体" w:eastAsia="宋体" w:cs="Times New Roman"/>
          <w:kern w:val="0"/>
          <w:sz w:val="24"/>
          <w:szCs w:val="24"/>
        </w:rPr>
      </w:pPr>
    </w:p>
    <w:p w14:paraId="29EE12D7">
      <w:pPr>
        <w:autoSpaceDE w:val="0"/>
        <w:autoSpaceDN w:val="0"/>
        <w:adjustRightInd w:val="0"/>
        <w:spacing w:line="460" w:lineRule="exact"/>
        <w:rPr>
          <w:rFonts w:ascii="宋体" w:hAnsi="宋体" w:eastAsia="宋体" w:cs="Times New Roman"/>
          <w:kern w:val="0"/>
          <w:sz w:val="24"/>
          <w:szCs w:val="24"/>
        </w:rPr>
      </w:pPr>
    </w:p>
    <w:p w14:paraId="093456DD">
      <w:pPr>
        <w:autoSpaceDE w:val="0"/>
        <w:autoSpaceDN w:val="0"/>
        <w:adjustRightInd w:val="0"/>
        <w:spacing w:line="460" w:lineRule="exact"/>
        <w:rPr>
          <w:rFonts w:ascii="宋体" w:hAnsi="宋体" w:eastAsia="宋体" w:cs="Times New Roman"/>
          <w:kern w:val="0"/>
          <w:sz w:val="24"/>
          <w:szCs w:val="24"/>
        </w:rPr>
      </w:pPr>
      <w:r>
        <w:rPr>
          <w:rFonts w:hint="eastAsia" w:ascii="宋体" w:hAnsi="宋体" w:eastAsia="宋体" w:cs="Times New Roman"/>
          <w:kern w:val="0"/>
          <w:sz w:val="24"/>
          <w:szCs w:val="24"/>
        </w:rPr>
        <w:t>法人或代理人（签字）：                  法人或代理人（签字）：</w:t>
      </w:r>
    </w:p>
    <w:p w14:paraId="78583A98">
      <w:pPr>
        <w:spacing w:line="500" w:lineRule="exact"/>
        <w:rPr>
          <w:rFonts w:ascii="宋体" w:hAnsi="宋体" w:eastAsia="宋体" w:cs="Times New Roman"/>
          <w:kern w:val="0"/>
          <w:sz w:val="24"/>
          <w:szCs w:val="24"/>
        </w:rPr>
      </w:pPr>
    </w:p>
    <w:p w14:paraId="6ACCFA96">
      <w:pPr>
        <w:spacing w:line="500" w:lineRule="exact"/>
        <w:rPr>
          <w:rFonts w:ascii="宋体" w:hAnsi="宋体" w:eastAsia="宋体" w:cs="Times New Roman"/>
          <w:kern w:val="0"/>
          <w:sz w:val="24"/>
          <w:szCs w:val="24"/>
        </w:rPr>
      </w:pPr>
    </w:p>
    <w:p w14:paraId="3BBF7886">
      <w:pPr>
        <w:spacing w:line="500" w:lineRule="exact"/>
        <w:rPr>
          <w:rFonts w:ascii="宋体" w:hAnsi="宋体" w:eastAsia="宋体" w:cs="Times New Roman"/>
          <w:sz w:val="24"/>
          <w:szCs w:val="24"/>
        </w:rPr>
      </w:pPr>
      <w:r>
        <w:rPr>
          <w:rFonts w:hint="eastAsia" w:ascii="宋体" w:hAnsi="宋体" w:eastAsia="宋体" w:cs="Times New Roman"/>
          <w:sz w:val="24"/>
          <w:szCs w:val="24"/>
        </w:rPr>
        <w:t>确认单位：梅州市嘉应粮食交易中心有限公司</w:t>
      </w:r>
    </w:p>
    <w:p w14:paraId="4D89E548">
      <w:pPr>
        <w:rPr>
          <w:rFonts w:ascii="宋体" w:hAnsi="宋体" w:eastAsia="宋体" w:cs="宋体"/>
          <w:sz w:val="24"/>
          <w:szCs w:val="24"/>
        </w:rPr>
      </w:pPr>
      <w:r>
        <w:rPr>
          <w:rFonts w:hint="eastAsia" w:ascii="宋体" w:hAnsi="宋体" w:eastAsia="宋体" w:cs="宋体"/>
          <w:sz w:val="24"/>
          <w:szCs w:val="24"/>
        </w:rPr>
        <w:t>电话（传真）：0753-2128232   0753-2128231</w:t>
      </w:r>
    </w:p>
    <w:p w14:paraId="578B7532">
      <w:pPr>
        <w:jc w:val="left"/>
        <w:rPr>
          <w:rFonts w:ascii="宋体" w:hAnsi="宋体" w:eastAsia="宋体" w:cs="Times New Roman"/>
          <w:sz w:val="24"/>
          <w:szCs w:val="24"/>
        </w:rPr>
      </w:pPr>
    </w:p>
    <w:p w14:paraId="5E6B31A6">
      <w:pPr>
        <w:jc w:val="right"/>
        <w:rPr>
          <w:rFonts w:ascii="宋体" w:hAnsi="宋体" w:eastAsia="宋体" w:cs="Times New Roman"/>
          <w:sz w:val="24"/>
          <w:szCs w:val="24"/>
        </w:rPr>
      </w:pPr>
    </w:p>
    <w:p w14:paraId="0ECB98F2">
      <w:pPr>
        <w:jc w:val="right"/>
        <w:rPr>
          <w:rFonts w:ascii="宋体" w:hAnsi="宋体" w:eastAsia="宋体" w:cs="Times New Roman"/>
          <w:sz w:val="24"/>
          <w:szCs w:val="24"/>
        </w:rPr>
      </w:pPr>
    </w:p>
    <w:p w14:paraId="2A8098B6">
      <w:pPr>
        <w:jc w:val="right"/>
        <w:rPr>
          <w:rFonts w:hint="eastAsia" w:ascii="宋体" w:hAnsi="宋体" w:eastAsia="宋体" w:cs="Times New Roman"/>
          <w:sz w:val="24"/>
          <w:szCs w:val="24"/>
        </w:rPr>
        <w:sectPr>
          <w:footerReference r:id="rId3" w:type="default"/>
          <w:pgSz w:w="11906" w:h="16838"/>
          <w:pgMar w:top="1588" w:right="1701" w:bottom="1304" w:left="1701" w:header="851" w:footer="992" w:gutter="0"/>
          <w:cols w:space="425" w:num="1"/>
          <w:docGrid w:type="lines" w:linePitch="312" w:charSpace="0"/>
        </w:sectPr>
      </w:pPr>
      <w:r>
        <w:rPr>
          <w:rFonts w:hint="eastAsia" w:ascii="宋体" w:hAnsi="宋体" w:eastAsia="宋体" w:cs="Times New Roman"/>
          <w:sz w:val="24"/>
          <w:szCs w:val="24"/>
          <w:lang w:val="en-US" w:eastAsia="zh-CN"/>
        </w:rPr>
        <w:t xml:space="preserve"> XXX</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XX</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XX</w:t>
      </w:r>
      <w:r>
        <w:rPr>
          <w:rFonts w:hint="eastAsia" w:ascii="宋体" w:hAnsi="宋体" w:eastAsia="宋体" w:cs="Times New Roman"/>
          <w:sz w:val="24"/>
          <w:szCs w:val="24"/>
        </w:rPr>
        <w:t>日</w:t>
      </w:r>
    </w:p>
    <w:p w14:paraId="75FCFB50">
      <w:pPr>
        <w:spacing w:line="640" w:lineRule="exact"/>
        <w:jc w:val="center"/>
        <w:rPr>
          <w:rFonts w:ascii="仿宋" w:hAnsi="仿宋" w:eastAsia="宋体" w:cs="仿宋"/>
          <w:b/>
          <w:bCs/>
          <w:sz w:val="28"/>
          <w:szCs w:val="28"/>
        </w:rPr>
      </w:pPr>
      <w:r>
        <w:rPr>
          <w:rFonts w:hint="eastAsia" w:ascii="宋体" w:hAnsi="宋体" w:eastAsia="宋体" w:cs="宋体"/>
          <w:b/>
          <w:bCs/>
          <w:sz w:val="40"/>
          <w:szCs w:val="40"/>
        </w:rPr>
        <w:t>兴宁市本级食用油</w:t>
      </w:r>
      <w:bookmarkStart w:id="0" w:name="_GoBack"/>
      <w:bookmarkEnd w:id="0"/>
      <w:r>
        <w:rPr>
          <w:rFonts w:hint="eastAsia" w:ascii="宋体" w:hAnsi="宋体" w:eastAsia="宋体" w:cs="宋体"/>
          <w:b/>
          <w:bCs/>
          <w:sz w:val="40"/>
          <w:szCs w:val="40"/>
        </w:rPr>
        <w:t>储备包干轮换合同</w:t>
      </w:r>
    </w:p>
    <w:p w14:paraId="06911D00">
      <w:pPr>
        <w:spacing w:line="640" w:lineRule="exact"/>
        <w:rPr>
          <w:rFonts w:ascii="仿宋" w:hAnsi="仿宋" w:eastAsia="仿宋" w:cs="仿宋"/>
          <w:sz w:val="30"/>
          <w:szCs w:val="30"/>
        </w:rPr>
      </w:pPr>
    </w:p>
    <w:p w14:paraId="3A0F8B41">
      <w:pPr>
        <w:spacing w:line="600" w:lineRule="exact"/>
        <w:rPr>
          <w:rFonts w:ascii="仿宋" w:hAnsi="仿宋" w:eastAsia="仿宋" w:cs="仿宋"/>
          <w:sz w:val="30"/>
          <w:szCs w:val="30"/>
        </w:rPr>
      </w:pPr>
      <w:r>
        <w:rPr>
          <w:rFonts w:hint="eastAsia" w:ascii="仿宋" w:hAnsi="仿宋" w:eastAsia="仿宋" w:cs="仿宋"/>
          <w:b/>
          <w:bCs/>
          <w:sz w:val="30"/>
          <w:szCs w:val="30"/>
        </w:rPr>
        <w:t>甲方（委托方）：</w:t>
      </w:r>
      <w:r>
        <w:rPr>
          <w:rFonts w:hint="eastAsia" w:ascii="仿宋" w:hAnsi="仿宋" w:eastAsia="仿宋" w:cs="仿宋"/>
          <w:sz w:val="30"/>
          <w:szCs w:val="30"/>
        </w:rPr>
        <w:t>兴宁市齐昌粮油储备管理有限公司</w:t>
      </w:r>
    </w:p>
    <w:p w14:paraId="5268A737">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地址：兴宁市中山西路43号   电话：</w:t>
      </w:r>
    </w:p>
    <w:p w14:paraId="404E6EB4">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法定代表人：                手机：</w:t>
      </w:r>
    </w:p>
    <w:p w14:paraId="780578AE">
      <w:pPr>
        <w:spacing w:line="600" w:lineRule="exact"/>
        <w:rPr>
          <w:rFonts w:ascii="仿宋" w:hAnsi="仿宋" w:eastAsia="仿宋" w:cs="仿宋"/>
          <w:sz w:val="30"/>
          <w:szCs w:val="30"/>
        </w:rPr>
      </w:pPr>
    </w:p>
    <w:p w14:paraId="0F8FFA57">
      <w:pPr>
        <w:spacing w:line="600" w:lineRule="exact"/>
        <w:rPr>
          <w:rFonts w:ascii="仿宋" w:hAnsi="仿宋" w:eastAsia="仿宋" w:cs="仿宋"/>
          <w:sz w:val="30"/>
          <w:szCs w:val="30"/>
        </w:rPr>
      </w:pPr>
      <w:r>
        <w:rPr>
          <w:rFonts w:hint="eastAsia" w:ascii="仿宋" w:hAnsi="仿宋" w:eastAsia="仿宋" w:cs="仿宋"/>
          <w:b/>
          <w:bCs/>
          <w:sz w:val="30"/>
          <w:szCs w:val="30"/>
        </w:rPr>
        <w:t>乙方（受托方）：</w:t>
      </w:r>
    </w:p>
    <w:p w14:paraId="79105832">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地址：</w:t>
      </w:r>
    </w:p>
    <w:p w14:paraId="4FC3F919">
      <w:pPr>
        <w:spacing w:line="60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法定代表人：                 手机：</w:t>
      </w:r>
    </w:p>
    <w:p w14:paraId="5C73F13B">
      <w:pPr>
        <w:spacing w:line="600" w:lineRule="exact"/>
        <w:ind w:firstLine="600" w:firstLineChars="200"/>
        <w:rPr>
          <w:rFonts w:ascii="仿宋" w:hAnsi="仿宋" w:eastAsia="仿宋" w:cs="仿宋"/>
          <w:sz w:val="30"/>
          <w:szCs w:val="30"/>
        </w:rPr>
      </w:pPr>
    </w:p>
    <w:p w14:paraId="1E77CDEE">
      <w:pPr>
        <w:spacing w:line="600" w:lineRule="exact"/>
        <w:ind w:firstLine="600" w:firstLineChars="200"/>
        <w:rPr>
          <w:rFonts w:ascii="仿宋_GB2312" w:hAnsi="仿宋_GB2312" w:eastAsia="仿宋_GB2312" w:cs="仿宋_GB2312"/>
          <w:sz w:val="30"/>
          <w:szCs w:val="30"/>
        </w:rPr>
      </w:pPr>
      <w:r>
        <w:rPr>
          <w:rFonts w:hint="eastAsia" w:ascii="仿宋" w:hAnsi="仿宋" w:eastAsia="仿宋" w:cs="仿宋"/>
          <w:sz w:val="30"/>
          <w:szCs w:val="30"/>
        </w:rPr>
        <w:t>身份证号码：</w:t>
      </w:r>
    </w:p>
    <w:p w14:paraId="06382A29">
      <w:pPr>
        <w:spacing w:line="640" w:lineRule="exact"/>
        <w:ind w:firstLine="600" w:firstLineChars="200"/>
        <w:rPr>
          <w:rFonts w:ascii="仿宋" w:hAnsi="仿宋" w:eastAsia="仿宋" w:cs="仿宋"/>
          <w:sz w:val="30"/>
          <w:szCs w:val="30"/>
        </w:rPr>
      </w:pPr>
    </w:p>
    <w:p w14:paraId="228EF37C">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为加强兴宁市本级食用植物油储备管理，甲方通过委托有资质的交易中心进行公开竞价后，将本级食用植物油储备交由中标企业乙方进行包干轮换。为明确甲乙双方的权利、责任和义务，经双方协商同意，达成如下合同条款：</w:t>
      </w:r>
    </w:p>
    <w:p w14:paraId="25BC64CC">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一、本级食油储备所有权</w:t>
      </w:r>
    </w:p>
    <w:p w14:paraId="11D440C1">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甲方承储的本级食用植物油所有权属兴宁市人民政府，市政府需要动用时，由兴宁市发展和改革局按照市政府的动用指令委托甲方全权处理，并按《兴宁市粮食应急预案》有关程序执行。乙方接到甲方的动用通知后，应立即封存储备食油，由市政府统一调配使用。未经兴宁市人民政府批准，或政府授权甲方批准，任何单位和个人均不得擅自动用储备食油。</w:t>
      </w:r>
    </w:p>
    <w:p w14:paraId="248CF361">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二、合同标的</w:t>
      </w:r>
    </w:p>
    <w:p w14:paraId="3D470C89">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本合同标的为甲方委托乙方负责采购和包干轮换的兴宁市本级储备食油，品种为食用植物油，数量</w:t>
      </w:r>
      <w:r>
        <w:rPr>
          <w:rFonts w:hint="eastAsia" w:ascii="仿宋" w:hAnsi="仿宋" w:eastAsia="仿宋" w:cs="仿宋"/>
          <w:sz w:val="30"/>
          <w:szCs w:val="30"/>
          <w:lang w:val="en-US" w:eastAsia="zh-CN"/>
        </w:rPr>
        <w:t>XXX</w:t>
      </w:r>
      <w:r>
        <w:rPr>
          <w:rFonts w:hint="eastAsia" w:ascii="仿宋" w:hAnsi="仿宋" w:eastAsia="仿宋" w:cs="仿宋"/>
          <w:sz w:val="30"/>
          <w:szCs w:val="30"/>
        </w:rPr>
        <w:t>吨，入库成本单价为</w:t>
      </w:r>
      <w:r>
        <w:rPr>
          <w:rFonts w:hint="eastAsia" w:ascii="仿宋" w:hAnsi="仿宋" w:eastAsia="仿宋" w:cs="仿宋"/>
          <w:sz w:val="30"/>
          <w:szCs w:val="30"/>
          <w:lang w:val="en-US" w:eastAsia="zh-CN"/>
        </w:rPr>
        <w:t>XXX</w:t>
      </w:r>
      <w:r>
        <w:rPr>
          <w:rFonts w:hint="eastAsia" w:ascii="仿宋" w:hAnsi="仿宋" w:eastAsia="仿宋" w:cs="仿宋"/>
          <w:sz w:val="30"/>
          <w:szCs w:val="30"/>
        </w:rPr>
        <w:t>吨，合计金额为</w:t>
      </w:r>
      <w:r>
        <w:rPr>
          <w:rFonts w:hint="eastAsia" w:ascii="仿宋" w:hAnsi="仿宋" w:eastAsia="仿宋" w:cs="仿宋"/>
          <w:sz w:val="30"/>
          <w:szCs w:val="30"/>
          <w:lang w:val="en-US" w:eastAsia="zh-CN"/>
        </w:rPr>
        <w:t>XXX</w:t>
      </w:r>
      <w:r>
        <w:rPr>
          <w:rFonts w:hint="eastAsia" w:ascii="仿宋" w:hAnsi="仿宋" w:eastAsia="仿宋" w:cs="仿宋"/>
          <w:sz w:val="30"/>
          <w:szCs w:val="30"/>
        </w:rPr>
        <w:t>万元。</w:t>
      </w:r>
    </w:p>
    <w:p w14:paraId="56687FA7">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三、储存库点</w:t>
      </w:r>
    </w:p>
    <w:p w14:paraId="4C8EBCBC">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存放库点为：</w:t>
      </w:r>
      <w:r>
        <w:rPr>
          <w:rFonts w:hint="eastAsia" w:ascii="仿宋" w:hAnsi="仿宋" w:eastAsia="仿宋" w:cs="仿宋"/>
          <w:sz w:val="30"/>
          <w:szCs w:val="30"/>
          <w:lang w:val="en-US" w:eastAsia="zh-CN"/>
        </w:rPr>
        <w:t>XXX</w:t>
      </w:r>
    </w:p>
    <w:p w14:paraId="188B5B69">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四、包干轮换期限</w:t>
      </w:r>
    </w:p>
    <w:p w14:paraId="5A2DF139">
      <w:pPr>
        <w:spacing w:line="540" w:lineRule="exact"/>
        <w:ind w:left="15" w:leftChars="7" w:firstLine="579" w:firstLineChars="193"/>
        <w:rPr>
          <w:rFonts w:ascii="仿宋" w:hAnsi="仿宋" w:eastAsia="仿宋" w:cs="仿宋"/>
          <w:sz w:val="30"/>
          <w:szCs w:val="30"/>
        </w:rPr>
      </w:pPr>
      <w:r>
        <w:rPr>
          <w:rFonts w:hint="eastAsia" w:ascii="仿宋" w:hAnsi="仿宋" w:eastAsia="仿宋" w:cs="仿宋"/>
          <w:sz w:val="30"/>
          <w:szCs w:val="30"/>
        </w:rPr>
        <w:t>本合同标的包干轮换期限为</w:t>
      </w:r>
      <w:r>
        <w:rPr>
          <w:rFonts w:hint="eastAsia" w:ascii="仿宋" w:hAnsi="仿宋" w:eastAsia="仿宋" w:cs="仿宋"/>
          <w:sz w:val="30"/>
          <w:szCs w:val="30"/>
          <w:lang w:val="en-US" w:eastAsia="zh-CN"/>
        </w:rPr>
        <w:t>XXX</w:t>
      </w:r>
      <w:r>
        <w:rPr>
          <w:rFonts w:hint="eastAsia" w:ascii="仿宋" w:hAnsi="仿宋" w:eastAsia="仿宋" w:cs="仿宋"/>
          <w:sz w:val="30"/>
          <w:szCs w:val="30"/>
        </w:rPr>
        <w:t>年，即自</w:t>
      </w:r>
      <w:r>
        <w:rPr>
          <w:rFonts w:hint="eastAsia" w:ascii="仿宋" w:hAnsi="仿宋" w:eastAsia="仿宋" w:cs="仿宋"/>
          <w:sz w:val="30"/>
          <w:szCs w:val="30"/>
          <w:lang w:val="en-US" w:eastAsia="zh-CN"/>
        </w:rPr>
        <w:t>XXX</w:t>
      </w:r>
      <w:r>
        <w:rPr>
          <w:rFonts w:hint="eastAsia" w:ascii="仿宋" w:hAnsi="仿宋" w:eastAsia="仿宋" w:cs="仿宋"/>
          <w:sz w:val="30"/>
          <w:szCs w:val="30"/>
        </w:rPr>
        <w:t>年</w:t>
      </w:r>
      <w:r>
        <w:rPr>
          <w:rFonts w:hint="eastAsia" w:ascii="仿宋" w:hAnsi="仿宋" w:eastAsia="仿宋" w:cs="仿宋"/>
          <w:sz w:val="30"/>
          <w:szCs w:val="30"/>
          <w:lang w:val="en-US" w:eastAsia="zh-CN"/>
        </w:rPr>
        <w:t>XX</w:t>
      </w:r>
      <w:r>
        <w:rPr>
          <w:rFonts w:hint="eastAsia" w:ascii="仿宋" w:hAnsi="仿宋" w:eastAsia="仿宋" w:cs="仿宋"/>
          <w:sz w:val="30"/>
          <w:szCs w:val="30"/>
        </w:rPr>
        <w:t>月</w:t>
      </w:r>
      <w:r>
        <w:rPr>
          <w:rFonts w:hint="eastAsia" w:ascii="仿宋" w:hAnsi="仿宋" w:eastAsia="仿宋" w:cs="仿宋"/>
          <w:sz w:val="30"/>
          <w:szCs w:val="30"/>
          <w:lang w:val="en-US" w:eastAsia="zh-CN"/>
        </w:rPr>
        <w:t>XX</w:t>
      </w:r>
      <w:r>
        <w:rPr>
          <w:rFonts w:hint="eastAsia" w:ascii="仿宋" w:hAnsi="仿宋" w:eastAsia="仿宋" w:cs="仿宋"/>
          <w:sz w:val="30"/>
          <w:szCs w:val="30"/>
        </w:rPr>
        <w:t>日起至</w:t>
      </w:r>
      <w:r>
        <w:rPr>
          <w:rFonts w:hint="eastAsia" w:ascii="仿宋" w:hAnsi="仿宋" w:eastAsia="仿宋" w:cs="仿宋"/>
          <w:sz w:val="30"/>
          <w:szCs w:val="30"/>
          <w:lang w:val="en-US" w:eastAsia="zh-CN"/>
        </w:rPr>
        <w:t xml:space="preserve"> XXX</w:t>
      </w:r>
      <w:r>
        <w:rPr>
          <w:rFonts w:hint="eastAsia" w:ascii="仿宋" w:hAnsi="仿宋" w:eastAsia="仿宋" w:cs="仿宋"/>
          <w:sz w:val="30"/>
          <w:szCs w:val="30"/>
        </w:rPr>
        <w:t>年</w:t>
      </w:r>
      <w:r>
        <w:rPr>
          <w:rFonts w:hint="eastAsia" w:ascii="仿宋" w:hAnsi="仿宋" w:eastAsia="仿宋" w:cs="仿宋"/>
          <w:sz w:val="30"/>
          <w:szCs w:val="30"/>
          <w:lang w:val="en-US" w:eastAsia="zh-CN"/>
        </w:rPr>
        <w:t>XX</w:t>
      </w:r>
      <w:r>
        <w:rPr>
          <w:rFonts w:hint="eastAsia" w:ascii="仿宋" w:hAnsi="仿宋" w:eastAsia="仿宋" w:cs="仿宋"/>
          <w:sz w:val="30"/>
          <w:szCs w:val="30"/>
        </w:rPr>
        <w:t>月</w:t>
      </w:r>
      <w:r>
        <w:rPr>
          <w:rFonts w:hint="eastAsia" w:ascii="仿宋" w:hAnsi="仿宋" w:eastAsia="仿宋" w:cs="仿宋"/>
          <w:sz w:val="30"/>
          <w:szCs w:val="30"/>
          <w:lang w:val="en-US" w:eastAsia="zh-CN"/>
        </w:rPr>
        <w:t>XX</w:t>
      </w:r>
      <w:r>
        <w:rPr>
          <w:rFonts w:hint="eastAsia" w:ascii="仿宋" w:hAnsi="仿宋" w:eastAsia="仿宋" w:cs="仿宋"/>
          <w:sz w:val="30"/>
          <w:szCs w:val="30"/>
        </w:rPr>
        <w:t>日止。</w:t>
      </w:r>
    </w:p>
    <w:p w14:paraId="7CCB7908">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五、轮换要求</w:t>
      </w:r>
    </w:p>
    <w:p w14:paraId="6A5AA0B5">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甲方委托乙方包干轮换的本级储备食油，乙方应按照均衡有序、库存充足的原则进行轮换，确保常储常新，满足随时动用需要。乙方在轮换时可自主用于经营周转，由此产生的盈亏由乙方自行负责。除政府需要紧急动用外，乙方必须保证其实物库存量在任何时点都不低于90%，即实有库存量必须保持在175.5吨以上；其质量、等级在任何时点均不得低于签订合同时规定的标准。</w:t>
      </w:r>
    </w:p>
    <w:p w14:paraId="317D2622">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六、品质要求</w:t>
      </w:r>
    </w:p>
    <w:p w14:paraId="244ABF43">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乙方采购和轮换入库的食用植物油，应为近期新加工的产品，各项常规质量指标必须符合相关产品国家标准要求，储存品质指标必须符合宜存要求，食品安全指标必须符合食品安全国家标准限量规定，保证数量真实、质量良好。</w:t>
      </w:r>
    </w:p>
    <w:p w14:paraId="738BB4CC">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七、仓储管理要求</w:t>
      </w:r>
    </w:p>
    <w:p w14:paraId="05A11B61">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食油储备的仓储管理按照国家《粮油储藏技术规范》、《广东省地方成品粮油储备管理细则（试行）》、《兴宁市本级储备粮管理办法》等有关规定执行。乙方应区分不同权属和轮换方式，按政府储备粮油管理要求进行明确标识，实行专仓储存、专人管理、专账记载和挂牌明示，做到数量真实、账实相符、质量良好、管理规范。</w:t>
      </w:r>
    </w:p>
    <w:p w14:paraId="7E838BFF">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八、包装材料及堆码要求</w:t>
      </w:r>
    </w:p>
    <w:p w14:paraId="13C49EB3">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1、储备食油的包装材料应符合国家相关规定和卫生安全要求，其中10升以下（含10升）小包装食油的储备数量，原则上不得低于本市主城区常住人口3天供应量。</w:t>
      </w:r>
    </w:p>
    <w:p w14:paraId="5884278A">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2、储备食油的堆放应按不同品种、不同等级、不同生产年份、不同规格、不同包装尺寸等分别堆放，堆码要整齐、稳固，不得歪斜或杂乱堆放，做到“包装完整、码垛整齐、数字准确、堆桩安全”。垛间通道宽度应符合安全生产规定，满足日常检查需要。</w:t>
      </w:r>
    </w:p>
    <w:p w14:paraId="61AF1547">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3、储存食油仓库的仓门、通道及垛堆四周应设置符合GB2894要求的安全标志。</w:t>
      </w:r>
    </w:p>
    <w:p w14:paraId="39A352DC">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九、货款及利息</w:t>
      </w:r>
    </w:p>
    <w:p w14:paraId="10775E0A">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1、甲方承担本级储备食油购进的货款及利息。由甲方负责向中国农业发展银行兴宁市支行贷款</w:t>
      </w:r>
      <w:r>
        <w:rPr>
          <w:rFonts w:hint="eastAsia" w:ascii="仿宋" w:hAnsi="仿宋" w:eastAsia="仿宋" w:cs="仿宋"/>
          <w:sz w:val="30"/>
          <w:szCs w:val="30"/>
          <w:lang w:val="en-US" w:eastAsia="zh-CN"/>
        </w:rPr>
        <w:t>XXX</w:t>
      </w:r>
      <w:r>
        <w:rPr>
          <w:rFonts w:hint="eastAsia" w:ascii="仿宋" w:hAnsi="仿宋" w:eastAsia="仿宋" w:cs="仿宋"/>
          <w:sz w:val="30"/>
          <w:szCs w:val="30"/>
        </w:rPr>
        <w:t>万元，用于该标的</w:t>
      </w:r>
      <w:r>
        <w:rPr>
          <w:rFonts w:hint="eastAsia" w:ascii="仿宋" w:hAnsi="仿宋" w:eastAsia="仿宋" w:cs="仿宋"/>
          <w:sz w:val="30"/>
          <w:szCs w:val="30"/>
          <w:lang w:val="en-US" w:eastAsia="zh-CN"/>
        </w:rPr>
        <w:t>XXX</w:t>
      </w:r>
      <w:r>
        <w:rPr>
          <w:rFonts w:hint="eastAsia" w:ascii="仿宋" w:hAnsi="仿宋" w:eastAsia="仿宋" w:cs="仿宋"/>
          <w:sz w:val="30"/>
          <w:szCs w:val="30"/>
        </w:rPr>
        <w:t>吨食用植物油的购进。</w:t>
      </w:r>
    </w:p>
    <w:p w14:paraId="63A0D1E1">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2、乙方经竞价中标后，按其中标标的的数量和质量要求，负责购进储备食用植物油，并负责储存期间的轮换等日常管理工作。购进的食油经甲方验收合格，凭乙方出具的税务发票，甲方如数付给乙方入库食油成本资金后食油所有权归甲方。合同到期后如双方不再续约，乙方必须将成本资金如数归还给甲方，甲方用于偿还农发行兴宁市支行贷款，并将乙方购进的储备食油所有权交还乙方，本合同自动废止。</w:t>
      </w:r>
    </w:p>
    <w:p w14:paraId="3ECC4F8F">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十、轮换费用及结算方式</w:t>
      </w:r>
    </w:p>
    <w:p w14:paraId="7CEBC5D7">
      <w:pPr>
        <w:spacing w:line="540" w:lineRule="exact"/>
        <w:ind w:left="1496" w:leftChars="284" w:hanging="900" w:hangingChars="300"/>
        <w:rPr>
          <w:rFonts w:hint="eastAsia" w:ascii="仿宋" w:hAnsi="仿宋" w:eastAsia="仿宋" w:cs="仿宋"/>
          <w:sz w:val="30"/>
          <w:szCs w:val="30"/>
          <w:lang w:eastAsia="zh-CN"/>
        </w:rPr>
      </w:pPr>
      <w:r>
        <w:rPr>
          <w:rFonts w:hint="eastAsia" w:ascii="仿宋" w:hAnsi="仿宋" w:eastAsia="仿宋" w:cs="仿宋"/>
          <w:sz w:val="30"/>
          <w:szCs w:val="30"/>
        </w:rPr>
        <w:t>1、在合同期内，甲方按乙方竞价中标的金额，每年给予乙</w:t>
      </w:r>
      <w:r>
        <w:rPr>
          <w:rFonts w:hint="eastAsia" w:ascii="仿宋" w:hAnsi="仿宋" w:eastAsia="仿宋" w:cs="仿宋"/>
          <w:sz w:val="30"/>
          <w:szCs w:val="30"/>
          <w:lang w:eastAsia="zh-CN"/>
        </w:rPr>
        <w:t>方</w:t>
      </w:r>
    </w:p>
    <w:p w14:paraId="281D95BB">
      <w:pPr>
        <w:spacing w:line="540" w:lineRule="exact"/>
        <w:ind w:left="0" w:leftChars="0" w:firstLine="0" w:firstLineChars="0"/>
        <w:rPr>
          <w:rFonts w:ascii="仿宋" w:hAnsi="仿宋" w:eastAsia="仿宋" w:cs="仿宋"/>
          <w:sz w:val="30"/>
          <w:szCs w:val="30"/>
        </w:rPr>
      </w:pPr>
      <w:r>
        <w:rPr>
          <w:rFonts w:hint="eastAsia" w:ascii="仿宋" w:hAnsi="仿宋" w:eastAsia="仿宋" w:cs="仿宋"/>
          <w:sz w:val="30"/>
          <w:szCs w:val="30"/>
          <w:lang w:val="en-US" w:eastAsia="zh-CN"/>
        </w:rPr>
        <w:t>XXX元</w:t>
      </w:r>
      <w:r>
        <w:rPr>
          <w:rFonts w:hint="eastAsia" w:ascii="仿宋" w:hAnsi="仿宋" w:eastAsia="仿宋" w:cs="仿宋"/>
          <w:sz w:val="30"/>
          <w:szCs w:val="30"/>
        </w:rPr>
        <w:t>/吨共计</w:t>
      </w:r>
      <w:r>
        <w:rPr>
          <w:rFonts w:hint="eastAsia" w:ascii="仿宋" w:hAnsi="仿宋" w:eastAsia="仿宋" w:cs="仿宋"/>
          <w:sz w:val="30"/>
          <w:szCs w:val="30"/>
          <w:lang w:val="en-US" w:eastAsia="zh-CN"/>
        </w:rPr>
        <w:t>XXX</w:t>
      </w:r>
      <w:r>
        <w:rPr>
          <w:rFonts w:hint="eastAsia" w:ascii="仿宋" w:hAnsi="仿宋" w:eastAsia="仿宋" w:cs="仿宋"/>
          <w:sz w:val="30"/>
          <w:szCs w:val="30"/>
        </w:rPr>
        <w:t>万元的包干轮换费用（含仓租、轮</w:t>
      </w:r>
      <w:r>
        <w:rPr>
          <w:rFonts w:hint="eastAsia" w:ascii="仿宋" w:hAnsi="仿宋" w:eastAsia="仿宋" w:cs="仿宋"/>
          <w:sz w:val="30"/>
          <w:szCs w:val="30"/>
          <w:lang w:eastAsia="zh-CN"/>
        </w:rPr>
        <w:t>换</w:t>
      </w:r>
      <w:r>
        <w:rPr>
          <w:rFonts w:hint="eastAsia" w:ascii="仿宋" w:hAnsi="仿宋" w:eastAsia="仿宋" w:cs="仿宋"/>
          <w:sz w:val="30"/>
          <w:szCs w:val="30"/>
        </w:rPr>
        <w:t>补贴、上下车搬运费、保管正常定额损耗1‰减量和食油包装物等）。</w:t>
      </w:r>
    </w:p>
    <w:p w14:paraId="79AABF87">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2、结算方式：每年度结算一次，乙方在其包干轮换每届满一年时向甲方提出轮换费用给付申请，经甲方核准后，凭乙方出具的税务发票拨付当年的包干轮换费用。</w:t>
      </w:r>
    </w:p>
    <w:p w14:paraId="4EB7BB33">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十一、履约风险保证金</w:t>
      </w:r>
    </w:p>
    <w:p w14:paraId="3D2FBE32">
      <w:pPr>
        <w:spacing w:line="540" w:lineRule="exact"/>
        <w:ind w:left="298" w:leftChars="142" w:firstLine="300" w:firstLineChars="100"/>
        <w:rPr>
          <w:rFonts w:ascii="仿宋" w:hAnsi="仿宋" w:eastAsia="仿宋" w:cs="仿宋"/>
          <w:sz w:val="30"/>
          <w:szCs w:val="30"/>
        </w:rPr>
      </w:pPr>
      <w:r>
        <w:rPr>
          <w:rFonts w:hint="eastAsia" w:ascii="仿宋" w:hAnsi="仿宋" w:eastAsia="仿宋" w:cs="仿宋"/>
          <w:sz w:val="30"/>
          <w:szCs w:val="30"/>
        </w:rPr>
        <w:t>在双方签订本合同的</w:t>
      </w:r>
      <w:r>
        <w:rPr>
          <w:rFonts w:hint="eastAsia" w:ascii="仿宋" w:hAnsi="仿宋" w:eastAsia="仿宋" w:cs="仿宋"/>
          <w:sz w:val="30"/>
          <w:szCs w:val="30"/>
          <w:lang w:val="en-US" w:eastAsia="zh-CN"/>
        </w:rPr>
        <w:t>XXX</w:t>
      </w:r>
      <w:r>
        <w:rPr>
          <w:rFonts w:hint="eastAsia" w:ascii="仿宋" w:hAnsi="仿宋" w:eastAsia="仿宋" w:cs="仿宋"/>
          <w:sz w:val="30"/>
          <w:szCs w:val="30"/>
        </w:rPr>
        <w:t>天内，乙方须交给甲方履约风险保证金（按中标采购价的10%计算缴交，风险保证金不计息）。合同期满后，如双方不再续约，且乙方没有违约，甲方应将风险保证金如数退还给乙方。</w:t>
      </w:r>
    </w:p>
    <w:p w14:paraId="7F1C322A">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十二、甲方责任</w:t>
      </w:r>
    </w:p>
    <w:p w14:paraId="5942702C">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1、按照政府储备粮油管理的有关规定，负责对乙方包干轮换的本级储备食油进行日常监督检查管理。真实反映库存食油的库存数量、质量及储存安全情况。</w:t>
      </w:r>
    </w:p>
    <w:p w14:paraId="78057334">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2、负责协助处理乙方在包干轮换期间出现的相关问题。</w:t>
      </w:r>
    </w:p>
    <w:p w14:paraId="1533E12F">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3、在包干轮换期间，对因发生地震、台风等不可抗力而造成的储备大米损失事故，由甲方负责按规定程序报市政府和上级有关部门进行审核确认处理。</w:t>
      </w:r>
    </w:p>
    <w:p w14:paraId="1B313035">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十三、乙方责任</w:t>
      </w:r>
    </w:p>
    <w:p w14:paraId="25111E95">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1、乙方必须严格遵守国家法律法规和储备粮油管理的有关规定，并对其包干轮换食油的数量、质量和安全等负直接、完全责任。</w:t>
      </w:r>
    </w:p>
    <w:p w14:paraId="2492BAB5">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2、乙方轮换入库的食油，每批均须持有有资质机构出具的产品检验合格证明，并随时接受和配合协助甲方及上级有关部门的检查、检验和检测。</w:t>
      </w:r>
    </w:p>
    <w:p w14:paraId="7150D173">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3、乙方必须建立库存台帐，认真做好账务记录，每月定期向甲方如实报送相关报表。</w:t>
      </w:r>
    </w:p>
    <w:p w14:paraId="0C17726B">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4、乙方必须依照国家有关规定，建立健全内部各项管理制度，不得擅自动用、变更储备食油的品种，不得弄虚作假、虚报数量，保证储备食油的库存数量充足、真实。</w:t>
      </w:r>
    </w:p>
    <w:p w14:paraId="4638C9E1">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5、未经甲方批准，乙方不得私自变更储备食油的存放库点和仓格。储存仓库需划线整齐，并标明长、宽、高度，以备甲方及相关部门检查。</w:t>
      </w:r>
    </w:p>
    <w:p w14:paraId="5EBE6F65">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6、乙方不得用储备食油对外质押、担保或清偿债务等。</w:t>
      </w:r>
    </w:p>
    <w:p w14:paraId="68DC50B7">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8、乙方对储存的本级食用植物油的数量等国家机密必须履行保密义务，不得对外泄漏，更不得利用该秘密从事有损国家利益的违法违纪活动。</w:t>
      </w:r>
    </w:p>
    <w:p w14:paraId="54D630B4">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十四、检查权</w:t>
      </w:r>
    </w:p>
    <w:p w14:paraId="78807143">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市发改局、财政局、农发行、甲方或上级相关部门将定期或不定期对乙方包干轮换的食油的储存地点、品种、数量、品质、价格等进行抽查核实，乙方应积极配合。凡发现有不符合要求的，甲方均有权要求乙方限期改正，并追究乙方相应的违约责任。</w:t>
      </w:r>
    </w:p>
    <w:p w14:paraId="7E64C87E">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十五、保管责任及风险承担</w:t>
      </w:r>
    </w:p>
    <w:p w14:paraId="71BFA2F8">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在包干轮换期内，储备食油的所有损耗、变质、灭失等风险均由乙方独自承担。若乙方对包干轮换的食油进行投保的，保费由乙方自付，但若发生保险赔付，其受益人为甲方。</w:t>
      </w:r>
    </w:p>
    <w:p w14:paraId="2B0050B1">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十六、协议变更及中止</w:t>
      </w:r>
    </w:p>
    <w:p w14:paraId="3086056B">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1、乙方在包干轮换期间，如遇上级政府或部门政策发生变化，甲方需收回包干轮换资格和成本资金，乙方应无条件服从，本合同随之终止，甲方不予任何经济补偿。</w:t>
      </w:r>
    </w:p>
    <w:p w14:paraId="7E49BD34">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2、乙方在本合同约定的包干轮换期内转营或关闭，或因其他原因不再具备轮换能力的，应提前一个月通知甲方，并全额归还甲方给付的采购食油货款后方可办理终止合同，甲方视具体情况酌情付给当年的轮换费用。</w:t>
      </w:r>
    </w:p>
    <w:p w14:paraId="5E131CBF">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十七、违约责任</w:t>
      </w:r>
    </w:p>
    <w:p w14:paraId="63FD7643">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1、甲方在检查时，若发现乙方轮换入库的食油不符合本合同的品质要求，有权要求乙方限期更换，已付的当年轮换费用可全数追回，并按50元/吨处以罚款；若乙方不能限期更换或全年检查超过三次轮入数量不足90%的，甲方有权解除合同，乙方无条件全额退回甲方给付的采购食油款。</w:t>
      </w:r>
    </w:p>
    <w:p w14:paraId="4E0C7D3B">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2、在包干轮换期间，乙方如有违反本合同有关规定的行为，甲方有权要求乙方限期整改，并暂停拨付当年的轮换费用；如有连续三次违反本合同有关规定，且经甲方劝说后乙方仍整改不到位的，甲方有权解除合同，并没收履约风险保证金，乙方无条件全额退回甲方给付的采购食油款。</w:t>
      </w:r>
    </w:p>
    <w:p w14:paraId="364D7D35">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3、在市政府需要动用储备食油时，若乙方不能提供符合本合同要求的品质和数量的食油，甲方有权责令乙方限期补足，己付的当年轮换费用全数追回，并按不足部分100元/吨处以罚款；若乙方不能限期补足，则由政府出资购买不足部分，包括购买价款在内的全部成本由乙方承担，甲方有权解除合同，乙方无条件全额退回甲方给付的采购食油款。</w:t>
      </w:r>
    </w:p>
    <w:p w14:paraId="7D8BE82B">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4、若乙方的行为情节严重，造成恶劣社会影响和严重损失的，移交司法机关追究刑事责任。</w:t>
      </w:r>
    </w:p>
    <w:p w14:paraId="2008E28B">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十八、争议处理</w:t>
      </w:r>
    </w:p>
    <w:p w14:paraId="2BF9AF4C">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本合同项下发生的争议，由双方当事人协商解决；协商不成的，提交市发改局调解或司法机关裁决。</w:t>
      </w:r>
    </w:p>
    <w:p w14:paraId="4AD0A6B4">
      <w:pPr>
        <w:spacing w:line="540" w:lineRule="exact"/>
        <w:ind w:firstLine="600" w:firstLineChars="200"/>
        <w:rPr>
          <w:rFonts w:ascii="黑体" w:hAnsi="黑体" w:eastAsia="黑体" w:cs="黑体"/>
          <w:sz w:val="30"/>
          <w:szCs w:val="30"/>
        </w:rPr>
      </w:pPr>
      <w:r>
        <w:rPr>
          <w:rFonts w:hint="eastAsia" w:ascii="黑体" w:hAnsi="黑体" w:eastAsia="黑体" w:cs="黑体"/>
          <w:sz w:val="30"/>
          <w:szCs w:val="30"/>
        </w:rPr>
        <w:t>十九、合同份数及效力</w:t>
      </w:r>
    </w:p>
    <w:p w14:paraId="16CFC21D">
      <w:pPr>
        <w:spacing w:line="540" w:lineRule="exact"/>
        <w:ind w:firstLine="600" w:firstLineChars="200"/>
        <w:rPr>
          <w:rFonts w:ascii="仿宋" w:hAnsi="仿宋" w:eastAsia="仿宋" w:cs="仿宋"/>
          <w:sz w:val="30"/>
          <w:szCs w:val="30"/>
        </w:rPr>
      </w:pPr>
      <w:r>
        <w:rPr>
          <w:rFonts w:hint="eastAsia" w:ascii="仿宋" w:hAnsi="仿宋" w:eastAsia="仿宋" w:cs="仿宋"/>
          <w:sz w:val="30"/>
          <w:szCs w:val="30"/>
        </w:rPr>
        <w:t>本合同自甲乙双方盖章签字之日起生效，有效期至委托包干轮换期限届满之日时止。本合同一式四份，甲乙双方各执一份、粮食交易中心一份、交农发行兴宁市支行备案一份，具同等法律效力。</w:t>
      </w:r>
    </w:p>
    <w:p w14:paraId="2496F1EA">
      <w:pPr>
        <w:spacing w:line="540" w:lineRule="exact"/>
        <w:rPr>
          <w:rFonts w:ascii="仿宋" w:hAnsi="仿宋" w:eastAsia="仿宋" w:cs="仿宋"/>
          <w:sz w:val="28"/>
          <w:szCs w:val="28"/>
        </w:rPr>
      </w:pPr>
    </w:p>
    <w:p w14:paraId="482DA968">
      <w:pPr>
        <w:spacing w:line="540" w:lineRule="exact"/>
        <w:rPr>
          <w:rFonts w:ascii="仿宋" w:hAnsi="仿宋" w:eastAsia="仿宋" w:cs="仿宋"/>
          <w:sz w:val="30"/>
          <w:szCs w:val="30"/>
        </w:rPr>
      </w:pPr>
    </w:p>
    <w:p w14:paraId="4DDDB070">
      <w:pPr>
        <w:spacing w:line="540" w:lineRule="exact"/>
        <w:rPr>
          <w:rFonts w:ascii="仿宋" w:hAnsi="仿宋" w:eastAsia="仿宋" w:cs="仿宋"/>
          <w:sz w:val="30"/>
          <w:szCs w:val="30"/>
        </w:rPr>
      </w:pPr>
      <w:r>
        <w:rPr>
          <w:rFonts w:hint="eastAsia" w:ascii="仿宋" w:hAnsi="仿宋" w:eastAsia="仿宋" w:cs="仿宋"/>
          <w:sz w:val="30"/>
          <w:szCs w:val="30"/>
        </w:rPr>
        <w:t>甲方（盖章）：兴宁市齐昌粮油储备管理有限公司</w:t>
      </w:r>
    </w:p>
    <w:p w14:paraId="465591A0">
      <w:pPr>
        <w:spacing w:line="540" w:lineRule="exact"/>
        <w:rPr>
          <w:rFonts w:ascii="仿宋" w:hAnsi="仿宋" w:eastAsia="仿宋" w:cs="仿宋"/>
          <w:sz w:val="30"/>
          <w:szCs w:val="30"/>
        </w:rPr>
      </w:pPr>
      <w:r>
        <w:rPr>
          <w:rFonts w:hint="eastAsia" w:ascii="仿宋" w:hAnsi="仿宋" w:eastAsia="仿宋" w:cs="仿宋"/>
          <w:sz w:val="30"/>
          <w:szCs w:val="30"/>
        </w:rPr>
        <w:t>法定代表人（签字）：</w:t>
      </w:r>
    </w:p>
    <w:p w14:paraId="6A79AAE9">
      <w:pPr>
        <w:spacing w:line="540" w:lineRule="exact"/>
        <w:rPr>
          <w:rFonts w:ascii="仿宋" w:hAnsi="仿宋" w:eastAsia="仿宋" w:cs="仿宋"/>
          <w:sz w:val="30"/>
          <w:szCs w:val="30"/>
        </w:rPr>
      </w:pPr>
    </w:p>
    <w:p w14:paraId="76E1E558">
      <w:pPr>
        <w:spacing w:line="540" w:lineRule="exact"/>
        <w:rPr>
          <w:rFonts w:ascii="仿宋" w:hAnsi="仿宋" w:eastAsia="仿宋" w:cs="仿宋"/>
          <w:sz w:val="30"/>
          <w:szCs w:val="30"/>
        </w:rPr>
      </w:pPr>
    </w:p>
    <w:p w14:paraId="5C531102">
      <w:pPr>
        <w:spacing w:line="540" w:lineRule="exact"/>
        <w:rPr>
          <w:rFonts w:ascii="仿宋" w:hAnsi="仿宋" w:eastAsia="仿宋" w:cs="仿宋"/>
          <w:sz w:val="30"/>
          <w:szCs w:val="30"/>
        </w:rPr>
      </w:pPr>
      <w:r>
        <w:rPr>
          <w:rFonts w:hint="eastAsia" w:ascii="仿宋" w:hAnsi="仿宋" w:eastAsia="仿宋" w:cs="仿宋"/>
          <w:sz w:val="30"/>
          <w:szCs w:val="30"/>
        </w:rPr>
        <w:t>乙方（盖章）：</w:t>
      </w:r>
    </w:p>
    <w:p w14:paraId="6B6E1E25">
      <w:pPr>
        <w:spacing w:line="540" w:lineRule="exact"/>
        <w:rPr>
          <w:rFonts w:ascii="仿宋" w:hAnsi="仿宋" w:eastAsia="仿宋" w:cs="仿宋"/>
          <w:sz w:val="30"/>
          <w:szCs w:val="30"/>
        </w:rPr>
      </w:pPr>
      <w:r>
        <w:rPr>
          <w:rFonts w:hint="eastAsia" w:ascii="仿宋" w:hAnsi="仿宋" w:eastAsia="仿宋" w:cs="仿宋"/>
          <w:sz w:val="30"/>
          <w:szCs w:val="30"/>
        </w:rPr>
        <w:t>法定代表人（签字）：</w:t>
      </w:r>
    </w:p>
    <w:p w14:paraId="1AF49AFA">
      <w:pPr>
        <w:spacing w:line="540" w:lineRule="exact"/>
        <w:ind w:firstLine="4800" w:firstLineChars="1600"/>
        <w:rPr>
          <w:rFonts w:ascii="仿宋" w:hAnsi="仿宋" w:eastAsia="仿宋" w:cs="仿宋"/>
          <w:sz w:val="30"/>
          <w:szCs w:val="30"/>
        </w:rPr>
      </w:pPr>
    </w:p>
    <w:p w14:paraId="26987C2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确认单位：梅州市嘉应粮食交易中心有限公司</w:t>
      </w:r>
    </w:p>
    <w:p w14:paraId="740E6465">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联系电话：0753-2128232、0753-2128231</w:t>
      </w:r>
    </w:p>
    <w:p w14:paraId="6BD02048">
      <w:pPr>
        <w:spacing w:line="540" w:lineRule="exact"/>
        <w:ind w:firstLine="4800" w:firstLineChars="1600"/>
        <w:rPr>
          <w:rFonts w:ascii="仿宋" w:hAnsi="仿宋" w:eastAsia="仿宋" w:cs="仿宋"/>
          <w:sz w:val="30"/>
          <w:szCs w:val="30"/>
        </w:rPr>
      </w:pPr>
    </w:p>
    <w:p w14:paraId="662E2949">
      <w:pPr>
        <w:spacing w:line="540" w:lineRule="exact"/>
        <w:ind w:firstLine="4800" w:firstLineChars="1600"/>
        <w:rPr>
          <w:rFonts w:ascii="仿宋" w:hAnsi="仿宋" w:eastAsia="仿宋" w:cs="仿宋"/>
          <w:sz w:val="30"/>
          <w:szCs w:val="30"/>
        </w:rPr>
      </w:pPr>
      <w:r>
        <w:rPr>
          <w:rFonts w:hint="eastAsia" w:ascii="仿宋" w:hAnsi="仿宋" w:eastAsia="仿宋" w:cs="仿宋"/>
          <w:sz w:val="30"/>
          <w:szCs w:val="30"/>
        </w:rPr>
        <w:t>签订时间：</w:t>
      </w:r>
      <w:r>
        <w:rPr>
          <w:rFonts w:hint="eastAsia" w:ascii="仿宋" w:hAnsi="仿宋" w:eastAsia="仿宋" w:cs="仿宋"/>
          <w:sz w:val="30"/>
          <w:szCs w:val="30"/>
          <w:lang w:val="en-US" w:eastAsia="zh-CN"/>
        </w:rPr>
        <w:t>XXX</w:t>
      </w:r>
      <w:r>
        <w:rPr>
          <w:rFonts w:hint="eastAsia" w:ascii="仿宋" w:hAnsi="仿宋" w:eastAsia="仿宋" w:cs="仿宋"/>
          <w:sz w:val="30"/>
          <w:szCs w:val="30"/>
        </w:rPr>
        <w:t>年</w:t>
      </w:r>
      <w:r>
        <w:rPr>
          <w:rFonts w:hint="eastAsia" w:ascii="仿宋" w:hAnsi="仿宋" w:eastAsia="仿宋" w:cs="仿宋"/>
          <w:sz w:val="30"/>
          <w:szCs w:val="30"/>
          <w:lang w:val="en-US" w:eastAsia="zh-CN"/>
        </w:rPr>
        <w:t>XX</w:t>
      </w:r>
      <w:r>
        <w:rPr>
          <w:rFonts w:hint="eastAsia" w:ascii="仿宋" w:hAnsi="仿宋" w:eastAsia="仿宋" w:cs="仿宋"/>
          <w:sz w:val="30"/>
          <w:szCs w:val="30"/>
        </w:rPr>
        <w:t>月</w:t>
      </w:r>
      <w:r>
        <w:rPr>
          <w:rFonts w:hint="eastAsia" w:ascii="仿宋" w:hAnsi="仿宋" w:eastAsia="仿宋" w:cs="仿宋"/>
          <w:sz w:val="30"/>
          <w:szCs w:val="30"/>
          <w:lang w:val="en-US" w:eastAsia="zh-CN"/>
        </w:rPr>
        <w:t>XX</w:t>
      </w:r>
      <w:r>
        <w:rPr>
          <w:rFonts w:hint="eastAsia" w:ascii="仿宋" w:hAnsi="仿宋" w:eastAsia="仿宋" w:cs="仿宋"/>
          <w:sz w:val="30"/>
          <w:szCs w:val="30"/>
        </w:rPr>
        <w:t>日</w:t>
      </w:r>
    </w:p>
    <w:p w14:paraId="3BABFD1D"/>
    <w:p w14:paraId="1D3B5324"/>
    <w:p w14:paraId="128622AC">
      <w:pPr>
        <w:jc w:val="right"/>
        <w:rPr>
          <w:rFonts w:hint="eastAsia" w:ascii="宋体" w:hAnsi="宋体" w:eastAsia="宋体" w:cs="Times New Roman"/>
          <w:sz w:val="24"/>
          <w:szCs w:val="24"/>
        </w:rPr>
      </w:pPr>
    </w:p>
    <w:sectPr>
      <w:footerReference r:id="rId4" w:type="default"/>
      <w:pgSz w:w="11906" w:h="16838"/>
      <w:pgMar w:top="1757" w:right="1474" w:bottom="1757"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6107"/>
    </w:sdtPr>
    <w:sdtContent>
      <w:p w14:paraId="354006FA">
        <w:pPr>
          <w:pStyle w:val="4"/>
          <w:jc w:val="center"/>
        </w:pPr>
        <w:r>
          <w:fldChar w:fldCharType="begin"/>
        </w:r>
        <w:r>
          <w:instrText xml:space="preserve"> PAGE   \* MERGEFORMAT </w:instrText>
        </w:r>
        <w:r>
          <w:fldChar w:fldCharType="separate"/>
        </w:r>
        <w:r>
          <w:rPr>
            <w:lang w:val="zh-CN"/>
          </w:rPr>
          <w:t>1</w:t>
        </w:r>
        <w:r>
          <w:rPr>
            <w:lang w:val="zh-CN"/>
          </w:rPr>
          <w:fldChar w:fldCharType="end"/>
        </w:r>
      </w:p>
    </w:sdtContent>
  </w:sdt>
  <w:p w14:paraId="0458762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418037"/>
      <w:docPartObj>
        <w:docPartGallery w:val="autotext"/>
      </w:docPartObj>
    </w:sdtPr>
    <w:sdtContent>
      <w:p w14:paraId="20181494">
        <w:pPr>
          <w:pStyle w:val="4"/>
          <w:jc w:val="center"/>
        </w:pPr>
        <w:r>
          <w:fldChar w:fldCharType="begin"/>
        </w:r>
        <w:r>
          <w:instrText xml:space="preserve"> PAGE   \* MERGEFORMAT </w:instrText>
        </w:r>
        <w:r>
          <w:fldChar w:fldCharType="separate"/>
        </w:r>
        <w:r>
          <w:rPr>
            <w:lang w:val="zh-CN"/>
          </w:rPr>
          <w:t>7</w:t>
        </w:r>
        <w:r>
          <w:rPr>
            <w:lang w:val="zh-CN"/>
          </w:rPr>
          <w:fldChar w:fldCharType="end"/>
        </w:r>
      </w:p>
    </w:sdtContent>
  </w:sdt>
  <w:p w14:paraId="65F0E5E0">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yOTIwMGM3NmQ0NWE4YmJiN2NkZWNlODcwODJmYWUifQ=="/>
  </w:docVars>
  <w:rsids>
    <w:rsidRoot w:val="00D0427C"/>
    <w:rsid w:val="00002E69"/>
    <w:rsid w:val="00026835"/>
    <w:rsid w:val="0004009B"/>
    <w:rsid w:val="00095055"/>
    <w:rsid w:val="000B0FB8"/>
    <w:rsid w:val="000C6476"/>
    <w:rsid w:val="0012319C"/>
    <w:rsid w:val="001676EF"/>
    <w:rsid w:val="00167711"/>
    <w:rsid w:val="001B0E2D"/>
    <w:rsid w:val="00202776"/>
    <w:rsid w:val="003E1F1C"/>
    <w:rsid w:val="004629F6"/>
    <w:rsid w:val="004A1B3D"/>
    <w:rsid w:val="004E57B3"/>
    <w:rsid w:val="004F469C"/>
    <w:rsid w:val="00504E0F"/>
    <w:rsid w:val="00523DF5"/>
    <w:rsid w:val="00537386"/>
    <w:rsid w:val="005541F5"/>
    <w:rsid w:val="005A6EA5"/>
    <w:rsid w:val="005C4CDF"/>
    <w:rsid w:val="005E0BE4"/>
    <w:rsid w:val="005E7736"/>
    <w:rsid w:val="0060127D"/>
    <w:rsid w:val="0060400E"/>
    <w:rsid w:val="00627C31"/>
    <w:rsid w:val="006B6F3F"/>
    <w:rsid w:val="007219BA"/>
    <w:rsid w:val="00837B0B"/>
    <w:rsid w:val="00870845"/>
    <w:rsid w:val="00905138"/>
    <w:rsid w:val="0098109E"/>
    <w:rsid w:val="009C6F41"/>
    <w:rsid w:val="00A02691"/>
    <w:rsid w:val="00A641C6"/>
    <w:rsid w:val="00A92186"/>
    <w:rsid w:val="00AC3897"/>
    <w:rsid w:val="00B42BE6"/>
    <w:rsid w:val="00B57AB3"/>
    <w:rsid w:val="00B60761"/>
    <w:rsid w:val="00B94DE2"/>
    <w:rsid w:val="00BA2F71"/>
    <w:rsid w:val="00BB3938"/>
    <w:rsid w:val="00C167A4"/>
    <w:rsid w:val="00C96410"/>
    <w:rsid w:val="00CB707A"/>
    <w:rsid w:val="00D0427C"/>
    <w:rsid w:val="00D21089"/>
    <w:rsid w:val="00D416E4"/>
    <w:rsid w:val="00D64887"/>
    <w:rsid w:val="00D800B8"/>
    <w:rsid w:val="00DB2F08"/>
    <w:rsid w:val="00DC7247"/>
    <w:rsid w:val="00E917F9"/>
    <w:rsid w:val="00EF0CC8"/>
    <w:rsid w:val="00F16DE4"/>
    <w:rsid w:val="00F23407"/>
    <w:rsid w:val="00F82612"/>
    <w:rsid w:val="00FA166D"/>
    <w:rsid w:val="2A2A1C46"/>
    <w:rsid w:val="40751508"/>
    <w:rsid w:val="76531E64"/>
    <w:rsid w:val="7EEB75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批注框文本 Char"/>
    <w:basedOn w:val="8"/>
    <w:link w:val="3"/>
    <w:semiHidden/>
    <w:qFormat/>
    <w:uiPriority w:val="99"/>
    <w:rPr>
      <w:sz w:val="18"/>
      <w:szCs w:val="18"/>
    </w:rPr>
  </w:style>
  <w:style w:type="paragraph" w:customStyle="1" w:styleId="1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
    <w:name w:val="日期 Char"/>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952</Words>
  <Characters>1010</Characters>
  <Lines>8</Lines>
  <Paragraphs>2</Paragraphs>
  <TotalTime>0</TotalTime>
  <ScaleCrop>false</ScaleCrop>
  <LinksUpToDate>false</LinksUpToDate>
  <CharactersWithSpaces>1139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2022-07-06T01:07:00Z</dcterms:created>
  <dc:creator>Admin</dc:creator>
  <cp:lastModifiedBy>晨怡</cp:lastModifiedBy>
  <cp:lastPrinted>2022-10-21T01:31:00Z</cp:lastPrinted>
  <dcterms:modified xsi:type="dcterms:W3CDTF">2026-10-14T09:42:32Z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050B12283F4A4C6D877D49E34963B5CD_13</vt:lpwstr>
  </property>
  <property fmtid="{D5CDD505-2E9C-101B-9397-08002B2CF9AE}" pid="4" name="KSOTemplateDocerSaveRecord">
    <vt:lpwstr>eyJoZGlkIjoiNWJhYWYyMmMyM2E3NmZmZDUwNzE3NTk3MGI4ZTI5ODciLCJ1c2VySWQiOiI3NjE2NDY1NDUifQ==</vt:lpwstr>
  </property>
</Properties>
</file>